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A3F1" w14:textId="77777777" w:rsidR="00CB61A2" w:rsidRDefault="00CB61A2" w:rsidP="00CB61A2">
      <w:pPr>
        <w:pStyle w:val="Corpodetexto"/>
        <w:ind w:left="3980"/>
        <w:rPr>
          <w:sz w:val="20"/>
        </w:rPr>
      </w:pPr>
    </w:p>
    <w:p w14:paraId="20295175" w14:textId="058D2AEE" w:rsidR="00CB61A2" w:rsidRDefault="00CB61A2" w:rsidP="00CB61A2">
      <w:pPr>
        <w:spacing w:before="61" w:line="240" w:lineRule="auto"/>
        <w:ind w:right="388"/>
        <w:jc w:val="center"/>
        <w:rPr>
          <w:i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DDE784" wp14:editId="7E1BA4C6">
            <wp:simplePos x="0" y="0"/>
            <wp:positionH relativeFrom="margin">
              <wp:align>center</wp:align>
            </wp:positionH>
            <wp:positionV relativeFrom="topMargin">
              <wp:posOffset>640080</wp:posOffset>
            </wp:positionV>
            <wp:extent cx="2722245" cy="492125"/>
            <wp:effectExtent l="0" t="0" r="1905" b="3175"/>
            <wp:wrapSquare wrapText="bothSides"/>
            <wp:docPr id="1" name="Imagem 1" descr="Escola Superior de Enfermagem de Coimbra | ESEn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scola Superior de Enfermagem de Coimbra | ESEnf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6C779" w14:textId="77777777" w:rsidR="00CB61A2" w:rsidRDefault="00CB61A2" w:rsidP="00CB61A2">
      <w:pPr>
        <w:spacing w:before="61" w:line="240" w:lineRule="auto"/>
        <w:ind w:right="388"/>
        <w:jc w:val="center"/>
        <w:rPr>
          <w:i/>
          <w:sz w:val="20"/>
        </w:rPr>
      </w:pPr>
      <w:r>
        <w:rPr>
          <w:rFonts w:ascii="Arial" w:hAnsi="Arial" w:cs="Arial"/>
          <w:i/>
          <w:sz w:val="20"/>
        </w:rPr>
        <w:t>Curso</w:t>
      </w:r>
      <w:r>
        <w:rPr>
          <w:rFonts w:ascii="Arial" w:hAnsi="Arial" w:cs="Arial"/>
          <w:i/>
          <w:spacing w:val="-1"/>
          <w:sz w:val="20"/>
        </w:rPr>
        <w:t xml:space="preserve"> </w:t>
      </w:r>
      <w:r>
        <w:rPr>
          <w:rFonts w:ascii="Arial" w:hAnsi="Arial" w:cs="Arial"/>
          <w:i/>
          <w:sz w:val="20"/>
        </w:rPr>
        <w:t>de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i/>
          <w:sz w:val="20"/>
        </w:rPr>
        <w:t>Licenciatura</w:t>
      </w:r>
      <w:r>
        <w:rPr>
          <w:rFonts w:ascii="Arial" w:hAnsi="Arial" w:cs="Arial"/>
          <w:i/>
          <w:spacing w:val="-1"/>
          <w:sz w:val="20"/>
        </w:rPr>
        <w:t xml:space="preserve"> </w:t>
      </w:r>
      <w:r>
        <w:rPr>
          <w:rFonts w:ascii="Arial" w:hAnsi="Arial" w:cs="Arial"/>
          <w:i/>
          <w:sz w:val="20"/>
        </w:rPr>
        <w:t>em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i/>
          <w:sz w:val="20"/>
        </w:rPr>
        <w:t>Enfermagem</w:t>
      </w:r>
    </w:p>
    <w:p w14:paraId="26BF6239" w14:textId="77777777" w:rsidR="00CB61A2" w:rsidRDefault="00CB61A2" w:rsidP="00CB61A2">
      <w:pPr>
        <w:spacing w:before="121" w:line="240" w:lineRule="auto"/>
        <w:ind w:right="388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Ensino Clínico de Cuidados Primários/Diferenciados na Área de Enfermagem Médico-Cirúrgica e Reabilitação</w:t>
      </w:r>
    </w:p>
    <w:p w14:paraId="1727E287" w14:textId="77777777" w:rsidR="00CB61A2" w:rsidRDefault="00CB61A2" w:rsidP="00CB61A2">
      <w:pPr>
        <w:spacing w:line="240" w:lineRule="auto"/>
        <w:ind w:right="388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Centro Hospitalar e Universitário de Coimbra – Medicina Interna B</w:t>
      </w:r>
    </w:p>
    <w:p w14:paraId="702A02E5" w14:textId="77777777" w:rsidR="00CB61A2" w:rsidRDefault="00CB61A2" w:rsidP="00CB61A2">
      <w:pPr>
        <w:spacing w:before="120" w:line="240" w:lineRule="auto"/>
        <w:ind w:right="388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7º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i/>
          <w:sz w:val="20"/>
        </w:rPr>
        <w:t>semestre</w:t>
      </w:r>
      <w:r>
        <w:rPr>
          <w:rFonts w:ascii="Arial" w:hAnsi="Arial" w:cs="Arial"/>
          <w:i/>
          <w:spacing w:val="-1"/>
          <w:sz w:val="20"/>
        </w:rPr>
        <w:t xml:space="preserve"> </w:t>
      </w:r>
      <w:r>
        <w:rPr>
          <w:rFonts w:ascii="Arial" w:hAnsi="Arial" w:cs="Arial"/>
          <w:i/>
          <w:sz w:val="20"/>
        </w:rPr>
        <w:t>– Ano</w:t>
      </w:r>
      <w:r>
        <w:rPr>
          <w:rFonts w:ascii="Arial" w:hAnsi="Arial" w:cs="Arial"/>
          <w:i/>
          <w:spacing w:val="-1"/>
          <w:sz w:val="20"/>
        </w:rPr>
        <w:t xml:space="preserve"> </w:t>
      </w:r>
      <w:r>
        <w:rPr>
          <w:rFonts w:ascii="Arial" w:hAnsi="Arial" w:cs="Arial"/>
          <w:i/>
          <w:sz w:val="20"/>
        </w:rPr>
        <w:t>letivo</w:t>
      </w:r>
      <w:r>
        <w:rPr>
          <w:rFonts w:ascii="Arial" w:hAnsi="Arial" w:cs="Arial"/>
          <w:i/>
          <w:spacing w:val="-1"/>
          <w:sz w:val="20"/>
        </w:rPr>
        <w:t xml:space="preserve"> </w:t>
      </w:r>
      <w:r>
        <w:rPr>
          <w:rFonts w:ascii="Arial" w:hAnsi="Arial" w:cs="Arial"/>
          <w:i/>
          <w:sz w:val="20"/>
        </w:rPr>
        <w:t>2022/2023</w:t>
      </w:r>
    </w:p>
    <w:p w14:paraId="16BE11B1" w14:textId="77777777" w:rsidR="00CB61A2" w:rsidRDefault="00CB61A2" w:rsidP="00CB61A2">
      <w:pPr>
        <w:spacing w:before="121" w:line="240" w:lineRule="auto"/>
        <w:ind w:right="388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Daniela Gomes</w:t>
      </w:r>
    </w:p>
    <w:p w14:paraId="14B96894" w14:textId="77777777" w:rsidR="00CB61A2" w:rsidRDefault="00CB61A2" w:rsidP="00CB61A2">
      <w:pPr>
        <w:tabs>
          <w:tab w:val="left" w:pos="900"/>
          <w:tab w:val="center" w:pos="425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27EDAEDD" w14:textId="17F005E4" w:rsidR="00CB61A2" w:rsidRDefault="00CB61A2" w:rsidP="00CB61A2">
      <w:pPr>
        <w:tabs>
          <w:tab w:val="left" w:pos="900"/>
          <w:tab w:val="center" w:pos="425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FICHA DE APRENDIZAGEM – </w:t>
      </w:r>
      <w:r>
        <w:rPr>
          <w:rFonts w:ascii="Arial" w:hAnsi="Arial" w:cs="Arial"/>
          <w:b/>
          <w:bCs/>
        </w:rPr>
        <w:t>ADMINISTRAÇÃO DE COMPONENTES SANGUÍNEOS (HEMOTERAPIA)</w:t>
      </w:r>
    </w:p>
    <w:p w14:paraId="645A177E" w14:textId="77777777" w:rsidR="00CB61A2" w:rsidRDefault="00CB61A2" w:rsidP="00CB61A2">
      <w:pPr>
        <w:jc w:val="center"/>
        <w:rPr>
          <w:rFonts w:ascii="Arial" w:hAnsi="Arial" w:cs="Arial"/>
          <w:b/>
          <w:bCs/>
        </w:rPr>
      </w:pPr>
    </w:p>
    <w:p w14:paraId="6F443A5A" w14:textId="6E1EC255" w:rsidR="00CB61A2" w:rsidRDefault="00CB61A2" w:rsidP="00CB61A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âmbito do Ensino Clínico (EC) de Cuidados Primários/Diferenciados, na Área de Enfermagem Médico Cirúrgica e Reabilitação, do 7º semestre do Curso de Licenciatura em Enfermagem, a decorrer no Hospital da Universidade de Coimbra, no serviço de Medicina Interna B, sob a orientação da professora Elisabete Ferreira, surgiu o interesse e a necessidade de elaborar a presente ficha de aprendizagem sobre </w:t>
      </w:r>
      <w:r>
        <w:rPr>
          <w:rFonts w:ascii="Arial" w:hAnsi="Arial" w:cs="Arial"/>
        </w:rPr>
        <w:t>a administração de componentes sanguíneos</w:t>
      </w:r>
      <w:r>
        <w:rPr>
          <w:rFonts w:ascii="Arial" w:hAnsi="Arial" w:cs="Arial"/>
        </w:rPr>
        <w:t xml:space="preserve"> de forma a aumentar o meu conhecimento sobre este tema, </w:t>
      </w:r>
      <w:r>
        <w:rPr>
          <w:rFonts w:ascii="Arial" w:hAnsi="Arial" w:cs="Arial"/>
        </w:rPr>
        <w:t>por me ter deparado com este procedimento durante a prática clínica e ter dúvidas relativamente ao mesmo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Desta forma estarei melhor preparada dar resposta às situações semelhantes que possam ocorrer durante o meu percurso académico e profissional, realizando o procedimento com segurança.</w:t>
      </w:r>
    </w:p>
    <w:p w14:paraId="2D123429" w14:textId="65B43C04" w:rsidR="00CB61A2" w:rsidRDefault="00CB61A2" w:rsidP="00CB61A2">
      <w:pPr>
        <w:spacing w:line="360" w:lineRule="auto"/>
        <w:jc w:val="both"/>
        <w:rPr>
          <w:rFonts w:ascii="Arial" w:hAnsi="Arial" w:cs="Arial"/>
        </w:rPr>
      </w:pPr>
      <w:r w:rsidRPr="00CB61A2">
        <w:rPr>
          <w:rFonts w:ascii="Arial" w:hAnsi="Arial" w:cs="Arial"/>
        </w:rPr>
        <w:t xml:space="preserve">A hemoterapia consiste </w:t>
      </w:r>
      <w:r w:rsidRPr="00CB61A2">
        <w:rPr>
          <w:rFonts w:ascii="Arial" w:hAnsi="Arial" w:cs="Arial"/>
        </w:rPr>
        <w:t>n</w:t>
      </w:r>
      <w:r w:rsidRPr="00CB61A2">
        <w:rPr>
          <w:rFonts w:ascii="Arial" w:hAnsi="Arial" w:cs="Arial"/>
        </w:rPr>
        <w:t>um tratamento realizado através da transfusão sanguínea, d</w:t>
      </w:r>
      <w:r w:rsidRPr="00CB61A2">
        <w:rPr>
          <w:rFonts w:ascii="Arial" w:hAnsi="Arial" w:cs="Arial"/>
        </w:rPr>
        <w:t>os</w:t>
      </w:r>
      <w:r w:rsidRPr="00CB61A2">
        <w:rPr>
          <w:rFonts w:ascii="Arial" w:hAnsi="Arial" w:cs="Arial"/>
        </w:rPr>
        <w:t xml:space="preserve"> seus componentes e derivados. </w:t>
      </w:r>
      <w:r w:rsidRPr="00CB61A2">
        <w:rPr>
          <w:rFonts w:ascii="Arial" w:hAnsi="Arial" w:cs="Arial"/>
        </w:rPr>
        <w:t>A s</w:t>
      </w:r>
      <w:r w:rsidRPr="00CB61A2">
        <w:rPr>
          <w:rFonts w:ascii="Arial" w:hAnsi="Arial" w:cs="Arial"/>
        </w:rPr>
        <w:t>ua utilização é mundialmente difundida e aceit</w:t>
      </w:r>
      <w:r w:rsidRPr="00CB61A2">
        <w:rPr>
          <w:rFonts w:ascii="Arial" w:hAnsi="Arial" w:cs="Arial"/>
        </w:rPr>
        <w:t>e</w:t>
      </w:r>
      <w:r w:rsidRPr="00CB61A2">
        <w:rPr>
          <w:rFonts w:ascii="Arial" w:hAnsi="Arial" w:cs="Arial"/>
        </w:rPr>
        <w:t xml:space="preserve">, por se tratar de um método terapêutico comprovadamente eficaz. Por se tratar de um procedimento invasivo, que apresenta um risco epidemiológico significativo, já que o sangue, na condição de tecido vivo, é capaz de transmitir diversas doenças é considerado um procedimento de alta complexidade e </w:t>
      </w:r>
      <w:r w:rsidRPr="00CB61A2">
        <w:rPr>
          <w:rFonts w:ascii="Arial" w:hAnsi="Arial" w:cs="Arial"/>
        </w:rPr>
        <w:t xml:space="preserve">que </w:t>
      </w:r>
      <w:r w:rsidRPr="00CB61A2">
        <w:rPr>
          <w:rFonts w:ascii="Arial" w:hAnsi="Arial" w:cs="Arial"/>
        </w:rPr>
        <w:t>se apresenta como uma terapêutica capaz de salvar vidas</w:t>
      </w:r>
      <w:r w:rsidRPr="00CB61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(Bezerra et al, 2021)</w:t>
      </w:r>
    </w:p>
    <w:p w14:paraId="0A779B9C" w14:textId="6C61CD6B" w:rsidR="00CB61A2" w:rsidRDefault="00CB61A2" w:rsidP="00CB61A2">
      <w:pPr>
        <w:spacing w:line="360" w:lineRule="auto"/>
        <w:jc w:val="both"/>
        <w:rPr>
          <w:rFonts w:ascii="Arial" w:hAnsi="Arial" w:cs="Arial"/>
        </w:rPr>
      </w:pPr>
      <w:r w:rsidRPr="00CB61A2">
        <w:rPr>
          <w:rFonts w:ascii="Arial" w:hAnsi="Arial" w:cs="Arial"/>
        </w:rPr>
        <w:t>A</w:t>
      </w:r>
      <w:r w:rsidRPr="00CB61A2">
        <w:rPr>
          <w:rFonts w:ascii="Arial" w:hAnsi="Arial" w:cs="Arial"/>
        </w:rPr>
        <w:t xml:space="preserve"> transfusão sanguínea compreende a etapa final do ciclo do sangue e apesar d</w:t>
      </w:r>
      <w:r w:rsidRPr="00CB61A2">
        <w:rPr>
          <w:rFonts w:ascii="Arial" w:hAnsi="Arial" w:cs="Arial"/>
        </w:rPr>
        <w:t>a</w:t>
      </w:r>
      <w:r w:rsidRPr="00CB61A2">
        <w:rPr>
          <w:rFonts w:ascii="Arial" w:hAnsi="Arial" w:cs="Arial"/>
        </w:rPr>
        <w:t xml:space="preserve"> sua reconhecida eficácia não é isento da ocorrência de eventos e reações adversas. Assim, deve ser utilizada criteriosamente, uma vez que toda transfusão traz em si um risco ao </w:t>
      </w:r>
      <w:r w:rsidRPr="00CB61A2">
        <w:rPr>
          <w:rFonts w:ascii="Arial" w:hAnsi="Arial" w:cs="Arial"/>
        </w:rPr>
        <w:t>recetor</w:t>
      </w:r>
      <w:r w:rsidRPr="00CB61A2">
        <w:rPr>
          <w:rFonts w:ascii="Arial" w:hAnsi="Arial" w:cs="Arial"/>
        </w:rPr>
        <w:t>, seja imediato ou tardio, para que assim se estabeleça um plano de cuidados específico e adequado.</w:t>
      </w:r>
      <w:r>
        <w:t xml:space="preserve"> </w:t>
      </w:r>
      <w:r w:rsidRPr="00B55E2B">
        <w:rPr>
          <w:rFonts w:ascii="Arial" w:hAnsi="Arial" w:cs="Arial"/>
        </w:rPr>
        <w:t>É essencial que o enfermeiro tenha</w:t>
      </w:r>
      <w:r w:rsidRPr="00B55E2B">
        <w:rPr>
          <w:rFonts w:ascii="Arial" w:hAnsi="Arial" w:cs="Arial"/>
        </w:rPr>
        <w:t xml:space="preserve"> conhecimento dos </w:t>
      </w:r>
      <w:r w:rsidR="00B55E2B" w:rsidRPr="00B55E2B">
        <w:rPr>
          <w:rFonts w:ascii="Arial" w:hAnsi="Arial" w:cs="Arial"/>
        </w:rPr>
        <w:t>aspetos</w:t>
      </w:r>
      <w:r w:rsidRPr="00B55E2B">
        <w:rPr>
          <w:rFonts w:ascii="Arial" w:hAnsi="Arial" w:cs="Arial"/>
        </w:rPr>
        <w:t xml:space="preserve"> relacionados </w:t>
      </w:r>
      <w:r w:rsidR="00B55E2B" w:rsidRPr="00B55E2B">
        <w:rPr>
          <w:rFonts w:ascii="Arial" w:hAnsi="Arial" w:cs="Arial"/>
        </w:rPr>
        <w:t xml:space="preserve">com a </w:t>
      </w:r>
      <w:r w:rsidRPr="00B55E2B">
        <w:rPr>
          <w:rFonts w:ascii="Arial" w:hAnsi="Arial" w:cs="Arial"/>
        </w:rPr>
        <w:t>transfusão de sangue e</w:t>
      </w:r>
      <w:r w:rsidR="00B55E2B" w:rsidRPr="00B55E2B">
        <w:rPr>
          <w:rFonts w:ascii="Arial" w:hAnsi="Arial" w:cs="Arial"/>
        </w:rPr>
        <w:t xml:space="preserve"> dos</w:t>
      </w:r>
      <w:r w:rsidRPr="00B55E2B">
        <w:rPr>
          <w:rFonts w:ascii="Arial" w:hAnsi="Arial" w:cs="Arial"/>
        </w:rPr>
        <w:t xml:space="preserve"> seus componentes, exigindo </w:t>
      </w:r>
      <w:r w:rsidRPr="00B55E2B">
        <w:rPr>
          <w:rFonts w:ascii="Arial" w:hAnsi="Arial" w:cs="Arial"/>
        </w:rPr>
        <w:lastRenderedPageBreak/>
        <w:t xml:space="preserve">conhecimentos científicos adequados e capacidade de tomar decisões imediatas. </w:t>
      </w:r>
      <w:r w:rsidR="00B55E2B">
        <w:rPr>
          <w:rFonts w:ascii="Arial" w:hAnsi="Arial" w:cs="Arial"/>
        </w:rPr>
        <w:t>(Bezerra et al, 2021)</w:t>
      </w:r>
    </w:p>
    <w:p w14:paraId="5C278724" w14:textId="188A803B" w:rsidR="00764B0D" w:rsidRPr="00764B0D" w:rsidRDefault="00764B0D" w:rsidP="00CB61A2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764B0D">
        <w:rPr>
          <w:rFonts w:ascii="Arial" w:hAnsi="Arial" w:cs="Arial"/>
          <w:b/>
          <w:bCs/>
          <w:u w:val="single"/>
        </w:rPr>
        <w:t>Hemocomponentes e hemoderivados</w:t>
      </w:r>
    </w:p>
    <w:p w14:paraId="7F126453" w14:textId="709BB44E" w:rsidR="00764B0D" w:rsidRPr="00764B0D" w:rsidRDefault="00764B0D" w:rsidP="00CB61A2">
      <w:pPr>
        <w:spacing w:line="360" w:lineRule="auto"/>
        <w:jc w:val="both"/>
        <w:rPr>
          <w:rFonts w:ascii="Arial" w:hAnsi="Arial" w:cs="Arial"/>
        </w:rPr>
      </w:pPr>
      <w:r w:rsidRPr="00764B0D">
        <w:rPr>
          <w:rFonts w:ascii="Arial" w:hAnsi="Arial" w:cs="Arial"/>
        </w:rPr>
        <w:t>Embora hemocomponentes e hemoderivados tenham a mesma origem, o sangue, são produtos diferentes e possuem utilizações terapêuticas diferentes. Ambos têm sua origem na c</w:t>
      </w:r>
      <w:r w:rsidRPr="00764B0D">
        <w:rPr>
          <w:rFonts w:ascii="Arial" w:hAnsi="Arial" w:cs="Arial"/>
        </w:rPr>
        <w:t>olheita</w:t>
      </w:r>
      <w:r w:rsidRPr="00764B0D">
        <w:rPr>
          <w:rFonts w:ascii="Arial" w:hAnsi="Arial" w:cs="Arial"/>
        </w:rPr>
        <w:t xml:space="preserve"> do sangue total de um doador </w:t>
      </w:r>
      <w:r w:rsidRPr="00764B0D">
        <w:rPr>
          <w:rFonts w:ascii="Arial" w:hAnsi="Arial" w:cs="Arial"/>
        </w:rPr>
        <w:t>saudável</w:t>
      </w:r>
      <w:r w:rsidRPr="00764B0D">
        <w:rPr>
          <w:rFonts w:ascii="Arial" w:hAnsi="Arial" w:cs="Arial"/>
        </w:rPr>
        <w:t>, a diferença acontece nos processos de obtenção de cada um</w:t>
      </w:r>
      <w:r w:rsidRPr="00764B0D">
        <w:rPr>
          <w:rFonts w:ascii="Arial" w:hAnsi="Arial" w:cs="Arial"/>
        </w:rPr>
        <w:t xml:space="preserve">. </w:t>
      </w:r>
      <w:r w:rsidRPr="00764B0D">
        <w:rPr>
          <w:rFonts w:ascii="Arial" w:hAnsi="Arial" w:cs="Arial"/>
        </w:rPr>
        <w:t>Hemoderivados são produtos obtidos de forma industrial a partir do fracionamento de plasma, os mais frequentes são as albuminas, as globulinas e concentrados de fatores de coagulação</w:t>
      </w:r>
      <w:r w:rsidRPr="00764B0D">
        <w:rPr>
          <w:rFonts w:ascii="Arial" w:hAnsi="Arial" w:cs="Arial"/>
        </w:rPr>
        <w:t>.</w:t>
      </w:r>
    </w:p>
    <w:p w14:paraId="59968542" w14:textId="304F5DD4" w:rsidR="003909A6" w:rsidRDefault="00B55E2B" w:rsidP="00764B0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0863C2FB" wp14:editId="75DAD54F">
            <wp:extent cx="5400040" cy="48774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7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B0D" w:rsidRPr="00764B0D">
        <w:rPr>
          <w:rFonts w:ascii="Arial" w:hAnsi="Arial" w:cs="Arial"/>
          <w:sz w:val="18"/>
          <w:szCs w:val="18"/>
        </w:rPr>
        <w:t xml:space="preserve">Fonte: </w:t>
      </w:r>
      <w:hyperlink r:id="rId7" w:history="1">
        <w:r w:rsidR="00764B0D" w:rsidRPr="00764B0D">
          <w:rPr>
            <w:rStyle w:val="Hiperligao"/>
            <w:rFonts w:ascii="Arial" w:hAnsi="Arial" w:cs="Arial"/>
            <w:sz w:val="18"/>
            <w:szCs w:val="18"/>
          </w:rPr>
          <w:t>https://www.marinha.mil.br/saudenaval/para-onde-vai-o-sangue-doado</w:t>
        </w:r>
      </w:hyperlink>
    </w:p>
    <w:p w14:paraId="7E7D5CC6" w14:textId="4FB8CA94" w:rsidR="009475C4" w:rsidRPr="009475C4" w:rsidRDefault="009475C4" w:rsidP="00764B0D">
      <w:pPr>
        <w:spacing w:line="360" w:lineRule="auto"/>
        <w:jc w:val="both"/>
        <w:rPr>
          <w:rFonts w:ascii="Arial" w:hAnsi="Arial" w:cs="Arial"/>
          <w:u w:val="single"/>
        </w:rPr>
      </w:pPr>
      <w:r w:rsidRPr="009475C4">
        <w:rPr>
          <w:rFonts w:ascii="Arial" w:hAnsi="Arial" w:cs="Arial"/>
          <w:u w:val="single"/>
        </w:rPr>
        <w:t>Sangue total (ST)</w:t>
      </w:r>
    </w:p>
    <w:p w14:paraId="02580589" w14:textId="2C8964CB" w:rsidR="009475C4" w:rsidRPr="009475C4" w:rsidRDefault="009475C4" w:rsidP="00764B0D">
      <w:pPr>
        <w:spacing w:line="360" w:lineRule="auto"/>
        <w:jc w:val="both"/>
        <w:rPr>
          <w:rFonts w:ascii="Arial" w:hAnsi="Arial" w:cs="Arial"/>
        </w:rPr>
      </w:pPr>
      <w:r w:rsidRPr="009475C4">
        <w:rPr>
          <w:rFonts w:ascii="Arial" w:hAnsi="Arial" w:cs="Arial"/>
        </w:rPr>
        <w:t>A cada doação são col</w:t>
      </w:r>
      <w:r w:rsidRPr="009475C4">
        <w:rPr>
          <w:rFonts w:ascii="Arial" w:hAnsi="Arial" w:cs="Arial"/>
        </w:rPr>
        <w:t>hidos</w:t>
      </w:r>
      <w:r w:rsidRPr="009475C4">
        <w:rPr>
          <w:rFonts w:ascii="Arial" w:hAnsi="Arial" w:cs="Arial"/>
        </w:rPr>
        <w:t xml:space="preserve"> 450 (± 50) m</w:t>
      </w:r>
      <w:r w:rsidR="00F902CB">
        <w:rPr>
          <w:rFonts w:ascii="Arial" w:hAnsi="Arial" w:cs="Arial"/>
        </w:rPr>
        <w:t>l</w:t>
      </w:r>
      <w:r w:rsidRPr="009475C4">
        <w:rPr>
          <w:rFonts w:ascii="Arial" w:hAnsi="Arial" w:cs="Arial"/>
        </w:rPr>
        <w:t xml:space="preserve"> de sangue total. Cada col</w:t>
      </w:r>
      <w:r w:rsidRPr="009475C4">
        <w:rPr>
          <w:rFonts w:ascii="Arial" w:hAnsi="Arial" w:cs="Arial"/>
        </w:rPr>
        <w:t>heita</w:t>
      </w:r>
      <w:r w:rsidRPr="009475C4">
        <w:rPr>
          <w:rFonts w:ascii="Arial" w:hAnsi="Arial" w:cs="Arial"/>
        </w:rPr>
        <w:t xml:space="preserve"> pode ser desdobrada em: 1 unidade de </w:t>
      </w:r>
      <w:r w:rsidR="00904960">
        <w:rPr>
          <w:rFonts w:ascii="Arial" w:hAnsi="Arial" w:cs="Arial"/>
        </w:rPr>
        <w:t>c</w:t>
      </w:r>
      <w:r w:rsidRPr="009475C4">
        <w:rPr>
          <w:rFonts w:ascii="Arial" w:hAnsi="Arial" w:cs="Arial"/>
        </w:rPr>
        <w:t xml:space="preserve">oncentrado de </w:t>
      </w:r>
      <w:r w:rsidR="00904960">
        <w:rPr>
          <w:rFonts w:ascii="Arial" w:hAnsi="Arial" w:cs="Arial"/>
        </w:rPr>
        <w:t>h</w:t>
      </w:r>
      <w:r w:rsidRPr="009475C4">
        <w:rPr>
          <w:rFonts w:ascii="Arial" w:hAnsi="Arial" w:cs="Arial"/>
        </w:rPr>
        <w:t xml:space="preserve">emácias, 1 unidade de </w:t>
      </w:r>
      <w:r w:rsidR="00904960">
        <w:rPr>
          <w:rFonts w:ascii="Arial" w:hAnsi="Arial" w:cs="Arial"/>
        </w:rPr>
        <w:t>c</w:t>
      </w:r>
      <w:r w:rsidRPr="009475C4">
        <w:rPr>
          <w:rFonts w:ascii="Arial" w:hAnsi="Arial" w:cs="Arial"/>
        </w:rPr>
        <w:t xml:space="preserve">oncentrado de </w:t>
      </w:r>
      <w:r w:rsidR="00904960">
        <w:rPr>
          <w:rFonts w:ascii="Arial" w:hAnsi="Arial" w:cs="Arial"/>
        </w:rPr>
        <w:lastRenderedPageBreak/>
        <w:t>p</w:t>
      </w:r>
      <w:r w:rsidRPr="009475C4">
        <w:rPr>
          <w:rFonts w:ascii="Arial" w:hAnsi="Arial" w:cs="Arial"/>
        </w:rPr>
        <w:t xml:space="preserve">laquetas, 1 unidade de </w:t>
      </w:r>
      <w:r w:rsidR="00904960">
        <w:rPr>
          <w:rFonts w:ascii="Arial" w:hAnsi="Arial" w:cs="Arial"/>
        </w:rPr>
        <w:t>p</w:t>
      </w:r>
      <w:r w:rsidRPr="009475C4">
        <w:rPr>
          <w:rFonts w:ascii="Arial" w:hAnsi="Arial" w:cs="Arial"/>
        </w:rPr>
        <w:t xml:space="preserve">lasma e 1 unidade de </w:t>
      </w:r>
      <w:r w:rsidR="00904960">
        <w:rPr>
          <w:rFonts w:ascii="Arial" w:hAnsi="Arial" w:cs="Arial"/>
        </w:rPr>
        <w:t>c</w:t>
      </w:r>
      <w:r w:rsidRPr="009475C4">
        <w:rPr>
          <w:rFonts w:ascii="Arial" w:hAnsi="Arial" w:cs="Arial"/>
        </w:rPr>
        <w:t xml:space="preserve">rioprecipitado. Assim são beneficiados, potencialmente, pelo menos quatro </w:t>
      </w:r>
      <w:r w:rsidRPr="009475C4">
        <w:rPr>
          <w:rFonts w:ascii="Arial" w:hAnsi="Arial" w:cs="Arial"/>
        </w:rPr>
        <w:t>utente</w:t>
      </w:r>
      <w:r w:rsidRPr="009475C4">
        <w:rPr>
          <w:rFonts w:ascii="Arial" w:hAnsi="Arial" w:cs="Arial"/>
        </w:rPr>
        <w:t>s.</w:t>
      </w:r>
    </w:p>
    <w:p w14:paraId="47B1200E" w14:textId="6FCF5DE3" w:rsidR="00764B0D" w:rsidRPr="00764B0D" w:rsidRDefault="00764B0D" w:rsidP="002C19E5">
      <w:pPr>
        <w:ind w:firstLine="360"/>
        <w:rPr>
          <w:rFonts w:ascii="Arial" w:hAnsi="Arial" w:cs="Arial"/>
          <w:u w:val="single"/>
        </w:rPr>
      </w:pPr>
      <w:r w:rsidRPr="00764B0D">
        <w:rPr>
          <w:rFonts w:ascii="Arial" w:hAnsi="Arial" w:cs="Arial"/>
          <w:u w:val="single"/>
        </w:rPr>
        <w:t>Concentrado de Hemácias (CH)</w:t>
      </w:r>
    </w:p>
    <w:p w14:paraId="5C777376" w14:textId="1C7538E8" w:rsidR="00764B0D" w:rsidRPr="00764B0D" w:rsidRDefault="00764B0D" w:rsidP="00764B0D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764B0D">
        <w:rPr>
          <w:rFonts w:ascii="Arial" w:hAnsi="Arial" w:cs="Arial"/>
        </w:rPr>
        <w:t>Volume final entre 220 ml a 280 ml</w:t>
      </w:r>
    </w:p>
    <w:p w14:paraId="075BDAFA" w14:textId="036D6276" w:rsidR="00764B0D" w:rsidRDefault="00764B0D" w:rsidP="00764B0D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764B0D">
        <w:rPr>
          <w:rFonts w:ascii="Arial" w:hAnsi="Arial" w:cs="Arial"/>
        </w:rPr>
        <w:t>Armazenamento a temperaturas e</w:t>
      </w:r>
      <w:r w:rsidR="00CC5D34">
        <w:rPr>
          <w:rFonts w:ascii="Arial" w:hAnsi="Arial" w:cs="Arial"/>
        </w:rPr>
        <w:t xml:space="preserve">ntre </w:t>
      </w:r>
      <w:r w:rsidRPr="00764B0D">
        <w:rPr>
          <w:rFonts w:ascii="Arial" w:hAnsi="Arial" w:cs="Arial"/>
        </w:rPr>
        <w:t>os 2ºC e 6ºC</w:t>
      </w:r>
    </w:p>
    <w:p w14:paraId="316A778A" w14:textId="390E209C" w:rsidR="00764B0D" w:rsidRDefault="00764B0D" w:rsidP="00764B0D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Validade entre 35 a 42 dias</w:t>
      </w:r>
    </w:p>
    <w:p w14:paraId="06C9709D" w14:textId="62F83C95" w:rsidR="00CC5D34" w:rsidRDefault="00CC5D34" w:rsidP="00764B0D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Tempo de infusão de 1h30 até 4h</w:t>
      </w:r>
      <w:r w:rsidR="00767A85">
        <w:rPr>
          <w:rFonts w:ascii="Arial" w:hAnsi="Arial" w:cs="Arial"/>
        </w:rPr>
        <w:t>.</w:t>
      </w:r>
    </w:p>
    <w:p w14:paraId="22D3944F" w14:textId="77777777" w:rsidR="00CC5D34" w:rsidRDefault="00764B0D" w:rsidP="00CC5D34">
      <w:pPr>
        <w:ind w:left="360"/>
        <w:rPr>
          <w:rFonts w:ascii="Arial" w:hAnsi="Arial" w:cs="Arial"/>
          <w:u w:val="single"/>
        </w:rPr>
      </w:pPr>
      <w:r w:rsidRPr="00CC5D34">
        <w:rPr>
          <w:rFonts w:ascii="Arial" w:hAnsi="Arial" w:cs="Arial"/>
          <w:u w:val="single"/>
        </w:rPr>
        <w:t>Concentrado de Plaquetas (CP)</w:t>
      </w:r>
    </w:p>
    <w:p w14:paraId="135A3637" w14:textId="50E336F0" w:rsidR="00CC5D34" w:rsidRPr="00CC5D34" w:rsidRDefault="00CC5D34" w:rsidP="00CC5D34">
      <w:pPr>
        <w:pStyle w:val="PargrafodaLista"/>
        <w:numPr>
          <w:ilvl w:val="0"/>
          <w:numId w:val="6"/>
        </w:numPr>
        <w:rPr>
          <w:rFonts w:ascii="Arial" w:hAnsi="Arial" w:cs="Arial"/>
          <w:u w:val="single"/>
        </w:rPr>
      </w:pPr>
      <w:r w:rsidRPr="00CC5D34">
        <w:rPr>
          <w:rFonts w:ascii="Arial" w:hAnsi="Arial" w:cs="Arial"/>
        </w:rPr>
        <w:t xml:space="preserve">Volume final entre </w:t>
      </w:r>
      <w:r w:rsidR="00001378">
        <w:rPr>
          <w:rFonts w:ascii="Arial" w:hAnsi="Arial" w:cs="Arial"/>
        </w:rPr>
        <w:t>50 - 60</w:t>
      </w:r>
      <w:r w:rsidRPr="00CC5D34">
        <w:rPr>
          <w:rFonts w:ascii="Arial" w:hAnsi="Arial" w:cs="Arial"/>
        </w:rPr>
        <w:t xml:space="preserve"> ml de plasma (</w:t>
      </w:r>
      <w:r w:rsidR="00001378">
        <w:rPr>
          <w:rFonts w:ascii="Arial" w:hAnsi="Arial" w:cs="Arial"/>
        </w:rPr>
        <w:t>5,5</w:t>
      </w:r>
      <w:r w:rsidRPr="00CC5D34">
        <w:rPr>
          <w:rFonts w:ascii="Arial" w:hAnsi="Arial" w:cs="Arial"/>
        </w:rPr>
        <w:t xml:space="preserve"> x 10</w:t>
      </w:r>
      <w:r w:rsidRPr="00CC5D34">
        <w:rPr>
          <w:rFonts w:ascii="Arial" w:hAnsi="Arial" w:cs="Arial"/>
          <w:vertAlign w:val="superscript"/>
        </w:rPr>
        <w:t>1</w:t>
      </w:r>
      <w:r w:rsidR="00001378">
        <w:rPr>
          <w:rFonts w:ascii="Arial" w:hAnsi="Arial" w:cs="Arial"/>
          <w:vertAlign w:val="superscript"/>
        </w:rPr>
        <w:t>0</w:t>
      </w:r>
      <w:r w:rsidRPr="00CC5D34">
        <w:rPr>
          <w:rFonts w:ascii="Arial" w:hAnsi="Arial" w:cs="Arial"/>
        </w:rPr>
        <w:t xml:space="preserve"> plaquetas)</w:t>
      </w:r>
    </w:p>
    <w:p w14:paraId="0A18F390" w14:textId="7178FCE3" w:rsidR="00CC5D34" w:rsidRDefault="00CC5D34" w:rsidP="00CC5D34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 w:rsidRPr="00CC5D34">
        <w:rPr>
          <w:rFonts w:ascii="Arial" w:hAnsi="Arial" w:cs="Arial"/>
        </w:rPr>
        <w:t>Armazenamento</w:t>
      </w:r>
      <w:r>
        <w:rPr>
          <w:rFonts w:ascii="Arial" w:hAnsi="Arial" w:cs="Arial"/>
        </w:rPr>
        <w:t xml:space="preserve"> a temperaturas entre os 2º a 22ºC em agitação constante</w:t>
      </w:r>
    </w:p>
    <w:p w14:paraId="498A7E89" w14:textId="355599E3" w:rsidR="00CC5D34" w:rsidRDefault="00CC5D34" w:rsidP="00CC5D34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Validade até 5 dias</w:t>
      </w:r>
    </w:p>
    <w:p w14:paraId="2FFD5FC0" w14:textId="0C8774CC" w:rsidR="00CC5D34" w:rsidRDefault="00CC5D34" w:rsidP="00CC5D34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Tempo de infusão entre 5 a 30 min.</w:t>
      </w:r>
    </w:p>
    <w:p w14:paraId="43985D12" w14:textId="4EF6D032" w:rsidR="00CC5D34" w:rsidRPr="00492540" w:rsidRDefault="00CC5D34" w:rsidP="00CC5D34">
      <w:pPr>
        <w:ind w:left="360"/>
        <w:rPr>
          <w:rFonts w:ascii="Arial" w:hAnsi="Arial" w:cs="Arial"/>
          <w:u w:val="single"/>
        </w:rPr>
      </w:pPr>
      <w:r w:rsidRPr="00492540">
        <w:rPr>
          <w:rFonts w:ascii="Arial" w:hAnsi="Arial" w:cs="Arial"/>
          <w:u w:val="single"/>
        </w:rPr>
        <w:t>Plasma Fresco Congelado (PFC)</w:t>
      </w:r>
    </w:p>
    <w:p w14:paraId="09FC1971" w14:textId="47A7FA6E" w:rsidR="00624DD6" w:rsidRDefault="00624DD6" w:rsidP="00271446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Volume entre 200 a 250ml</w:t>
      </w:r>
    </w:p>
    <w:p w14:paraId="6D9DE9E0" w14:textId="6244F1C6" w:rsidR="00CC5D34" w:rsidRDefault="00807E8B" w:rsidP="00271446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Congelado</w:t>
      </w:r>
      <w:r w:rsidR="00134C9C">
        <w:rPr>
          <w:rFonts w:ascii="Arial" w:hAnsi="Arial" w:cs="Arial"/>
        </w:rPr>
        <w:t xml:space="preserve"> entre 18º</w:t>
      </w:r>
      <w:r w:rsidR="002634F3">
        <w:rPr>
          <w:rFonts w:ascii="Arial" w:hAnsi="Arial" w:cs="Arial"/>
        </w:rPr>
        <w:t>C</w:t>
      </w:r>
      <w:r w:rsidR="00134C9C">
        <w:rPr>
          <w:rFonts w:ascii="Arial" w:hAnsi="Arial" w:cs="Arial"/>
        </w:rPr>
        <w:t xml:space="preserve"> negativos e</w:t>
      </w:r>
      <w:r w:rsidR="002634F3">
        <w:rPr>
          <w:rFonts w:ascii="Arial" w:hAnsi="Arial" w:cs="Arial"/>
        </w:rPr>
        <w:t xml:space="preserve"> 25ºC negativos, com validade de 12 meses</w:t>
      </w:r>
    </w:p>
    <w:p w14:paraId="4BF4E17C" w14:textId="394BB719" w:rsidR="002634F3" w:rsidRDefault="002424BD" w:rsidP="00271446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Após descongelado, </w:t>
      </w:r>
      <w:r w:rsidR="00C44507">
        <w:rPr>
          <w:rFonts w:ascii="Arial" w:hAnsi="Arial" w:cs="Arial"/>
        </w:rPr>
        <w:t>validade 24h sob refrigeração de 2º a 6ºC</w:t>
      </w:r>
    </w:p>
    <w:p w14:paraId="3E718809" w14:textId="79559313" w:rsidR="00492540" w:rsidRDefault="00C44507" w:rsidP="00492540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Tempo de infusão entre 30 min até 2h</w:t>
      </w:r>
      <w:r w:rsidR="00767A85">
        <w:rPr>
          <w:rFonts w:ascii="Arial" w:hAnsi="Arial" w:cs="Arial"/>
        </w:rPr>
        <w:t>.</w:t>
      </w:r>
    </w:p>
    <w:p w14:paraId="3543750C" w14:textId="7F249CA7" w:rsidR="00A22AC0" w:rsidRPr="00D94BFD" w:rsidRDefault="00A22AC0" w:rsidP="00A22AC0">
      <w:pPr>
        <w:ind w:left="360"/>
        <w:rPr>
          <w:rFonts w:ascii="Arial" w:hAnsi="Arial" w:cs="Arial"/>
          <w:u w:val="single"/>
        </w:rPr>
      </w:pPr>
      <w:r w:rsidRPr="00D94BFD">
        <w:rPr>
          <w:rFonts w:ascii="Arial" w:hAnsi="Arial" w:cs="Arial"/>
          <w:u w:val="single"/>
        </w:rPr>
        <w:t>Crioprecipitado</w:t>
      </w:r>
      <w:r w:rsidR="002E242B" w:rsidRPr="00D94BFD">
        <w:rPr>
          <w:rFonts w:ascii="Arial" w:hAnsi="Arial" w:cs="Arial"/>
          <w:u w:val="single"/>
        </w:rPr>
        <w:t xml:space="preserve"> (CRIO)</w:t>
      </w:r>
    </w:p>
    <w:p w14:paraId="2F029814" w14:textId="3FFB82BB" w:rsidR="00A22AC0" w:rsidRDefault="007A3E1D" w:rsidP="00A22AC0">
      <w:pPr>
        <w:pStyle w:val="Pargrafoda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Obtido a partir do descongelamento de uma unidade de plasma fresco a temperatura de 1º a 6ºC</w:t>
      </w:r>
    </w:p>
    <w:p w14:paraId="23C8FAB1" w14:textId="6109F8EE" w:rsidR="00F902CB" w:rsidRDefault="00F902CB" w:rsidP="00A22AC0">
      <w:pPr>
        <w:pStyle w:val="Pargrafoda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Congelado novamente </w:t>
      </w:r>
      <w:r w:rsidR="00C379A5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18ºC negativos</w:t>
      </w:r>
      <w:r w:rsidR="00C379A5">
        <w:rPr>
          <w:rFonts w:ascii="Arial" w:hAnsi="Arial" w:cs="Arial"/>
        </w:rPr>
        <w:t xml:space="preserve"> e 30ºC negativos</w:t>
      </w:r>
    </w:p>
    <w:p w14:paraId="01B11BF0" w14:textId="0B9FF360" w:rsidR="00F902CB" w:rsidRDefault="00F902CB" w:rsidP="00A22AC0">
      <w:pPr>
        <w:pStyle w:val="Pargrafoda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Volume de 10 a 20ml</w:t>
      </w:r>
    </w:p>
    <w:p w14:paraId="705E8454" w14:textId="296DBFB8" w:rsidR="00D94BFD" w:rsidRDefault="00F902CB" w:rsidP="00A22AC0">
      <w:pPr>
        <w:pStyle w:val="Pargrafoda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Validade de 12 meses</w:t>
      </w:r>
    </w:p>
    <w:p w14:paraId="43AB983A" w14:textId="1D484A42" w:rsidR="00767A85" w:rsidRDefault="00767A85" w:rsidP="00A22AC0">
      <w:pPr>
        <w:pStyle w:val="Pargrafoda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Tempo de infusão de 30 min a 1h.</w:t>
      </w:r>
    </w:p>
    <w:p w14:paraId="1E7E4CBC" w14:textId="5828C4A7" w:rsidR="00040539" w:rsidRPr="00DC4905" w:rsidRDefault="007B128E" w:rsidP="00040539">
      <w:pPr>
        <w:rPr>
          <w:rFonts w:ascii="Arial" w:hAnsi="Arial" w:cs="Arial"/>
          <w:b/>
          <w:bCs/>
          <w:u w:val="single"/>
        </w:rPr>
      </w:pPr>
      <w:r w:rsidRPr="00DC4905">
        <w:rPr>
          <w:rFonts w:ascii="Arial" w:hAnsi="Arial" w:cs="Arial"/>
          <w:b/>
          <w:bCs/>
          <w:u w:val="single"/>
        </w:rPr>
        <w:t xml:space="preserve">Cuidados a ter </w:t>
      </w:r>
      <w:r w:rsidR="00217174" w:rsidRPr="00DC4905">
        <w:rPr>
          <w:rFonts w:ascii="Arial" w:hAnsi="Arial" w:cs="Arial"/>
          <w:b/>
          <w:bCs/>
          <w:u w:val="single"/>
        </w:rPr>
        <w:t>ao reali</w:t>
      </w:r>
      <w:r w:rsidR="00713B08" w:rsidRPr="00DC4905">
        <w:rPr>
          <w:rFonts w:ascii="Arial" w:hAnsi="Arial" w:cs="Arial"/>
          <w:b/>
          <w:bCs/>
          <w:u w:val="single"/>
        </w:rPr>
        <w:t>zar uma transfusão</w:t>
      </w:r>
    </w:p>
    <w:p w14:paraId="41CBD33C" w14:textId="77777777" w:rsidR="00DC4905" w:rsidRPr="00DC4905" w:rsidRDefault="00DC4905" w:rsidP="00DC490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C4905">
        <w:rPr>
          <w:rFonts w:ascii="Arial" w:hAnsi="Arial" w:cs="Arial"/>
        </w:rPr>
        <w:t xml:space="preserve">Avaliar, adequadamente, o risco/benefício da transfusão. </w:t>
      </w:r>
    </w:p>
    <w:p w14:paraId="3AC1C2FF" w14:textId="77777777" w:rsidR="00DC4905" w:rsidRPr="00DC4905" w:rsidRDefault="00DC4905" w:rsidP="00DC490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C4905">
        <w:rPr>
          <w:rFonts w:ascii="Arial" w:hAnsi="Arial" w:cs="Arial"/>
        </w:rPr>
        <w:t xml:space="preserve">Confirmar a identificação do doente em todas as fases da cadeia transfusional </w:t>
      </w:r>
    </w:p>
    <w:p w14:paraId="65D6AAF8" w14:textId="77777777" w:rsidR="00DC4905" w:rsidRPr="00DC4905" w:rsidRDefault="00DC4905" w:rsidP="00DC490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C4905">
        <w:rPr>
          <w:rFonts w:ascii="Arial" w:hAnsi="Arial" w:cs="Arial"/>
        </w:rPr>
        <w:t xml:space="preserve">Respeitar as normas relativas ao tempo de administração de cada componente. </w:t>
      </w:r>
    </w:p>
    <w:p w14:paraId="0806A6A8" w14:textId="4E2A2838" w:rsidR="00DC4905" w:rsidRPr="00DC4905" w:rsidRDefault="00DC4905" w:rsidP="00DC490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C4905">
        <w:rPr>
          <w:rFonts w:ascii="Arial" w:hAnsi="Arial" w:cs="Arial"/>
        </w:rPr>
        <w:t xml:space="preserve">Não administrar qualquer fármaco ou solução na mesma via onde perfunde o componente sanguíneo, com a </w:t>
      </w:r>
      <w:r w:rsidRPr="00DC4905">
        <w:rPr>
          <w:rFonts w:ascii="Arial" w:hAnsi="Arial" w:cs="Arial"/>
        </w:rPr>
        <w:t>exceção</w:t>
      </w:r>
      <w:r w:rsidRPr="00DC4905">
        <w:rPr>
          <w:rFonts w:ascii="Arial" w:hAnsi="Arial" w:cs="Arial"/>
        </w:rPr>
        <w:t xml:space="preserve"> do soro fisiológico. </w:t>
      </w:r>
    </w:p>
    <w:p w14:paraId="0EEC7BB3" w14:textId="77777777" w:rsidR="00DC4905" w:rsidRPr="00DC4905" w:rsidRDefault="00DC4905" w:rsidP="00DC490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C4905">
        <w:rPr>
          <w:rFonts w:ascii="Arial" w:hAnsi="Arial" w:cs="Arial"/>
        </w:rPr>
        <w:t xml:space="preserve">Manter o doente sob vigilância apertada, durante os primeiros 15 minutos e pelo menos até uma hora, depois de terminada a transfusão. </w:t>
      </w:r>
    </w:p>
    <w:p w14:paraId="715BCF98" w14:textId="6F394F66" w:rsidR="00DC4905" w:rsidRDefault="00DC4905" w:rsidP="00DC490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C4905">
        <w:rPr>
          <w:rFonts w:ascii="Arial" w:hAnsi="Arial" w:cs="Arial"/>
        </w:rPr>
        <w:t xml:space="preserve">Em caso de </w:t>
      </w:r>
      <w:r w:rsidRPr="00DC4905">
        <w:rPr>
          <w:rFonts w:ascii="Arial" w:hAnsi="Arial" w:cs="Arial"/>
        </w:rPr>
        <w:t>reação</w:t>
      </w:r>
      <w:r w:rsidRPr="00DC4905">
        <w:rPr>
          <w:rFonts w:ascii="Arial" w:hAnsi="Arial" w:cs="Arial"/>
        </w:rPr>
        <w:t xml:space="preserve"> transfusional: parar a transfusão, de imediato, confirmar a identificação do doente/componente; manter o acesso venoso com soro fisiológico; avaliar os parâmetros vitais, comunicar ao médico responsável pelo doente e ao Serviço de Sangue; administrar a medicação prescrita. </w:t>
      </w:r>
    </w:p>
    <w:p w14:paraId="7BDA6017" w14:textId="77777777" w:rsidR="00DC4905" w:rsidRDefault="00DC4905" w:rsidP="00DC4905">
      <w:pPr>
        <w:spacing w:line="360" w:lineRule="auto"/>
        <w:jc w:val="both"/>
        <w:rPr>
          <w:rFonts w:ascii="Arial" w:hAnsi="Arial" w:cs="Arial"/>
        </w:rPr>
      </w:pPr>
    </w:p>
    <w:p w14:paraId="24969D9C" w14:textId="77777777" w:rsidR="00DC4905" w:rsidRPr="00DC4905" w:rsidRDefault="00DC4905" w:rsidP="00DC4905">
      <w:pPr>
        <w:spacing w:line="360" w:lineRule="auto"/>
        <w:jc w:val="both"/>
        <w:rPr>
          <w:rFonts w:ascii="Arial" w:hAnsi="Arial" w:cs="Arial"/>
        </w:rPr>
      </w:pPr>
    </w:p>
    <w:p w14:paraId="69D10F57" w14:textId="101ADB4D" w:rsidR="00D217E8" w:rsidRPr="001F5668" w:rsidRDefault="00D217E8" w:rsidP="001F566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1F5668">
        <w:rPr>
          <w:rFonts w:ascii="Arial" w:hAnsi="Arial" w:cs="Arial"/>
          <w:b/>
          <w:bCs/>
          <w:u w:val="single"/>
        </w:rPr>
        <w:lastRenderedPageBreak/>
        <w:t>Reações transfusionais</w:t>
      </w:r>
    </w:p>
    <w:p w14:paraId="595E5EB2" w14:textId="54D77D2D" w:rsidR="003231EA" w:rsidRPr="00233705" w:rsidRDefault="001F5668" w:rsidP="00233705">
      <w:pPr>
        <w:spacing w:line="360" w:lineRule="auto"/>
        <w:jc w:val="both"/>
        <w:rPr>
          <w:rFonts w:ascii="Arial" w:hAnsi="Arial" w:cs="Arial"/>
        </w:rPr>
      </w:pPr>
      <w:r w:rsidRPr="001F5668">
        <w:rPr>
          <w:rFonts w:ascii="Arial" w:hAnsi="Arial" w:cs="Arial"/>
        </w:rPr>
        <w:t>A reação transfusional é toda e qualquer intercorrência que ocorra como consequência da transfusão sanguínea, durante ou após a sua administração.</w:t>
      </w:r>
      <w:r w:rsidRPr="001F5668">
        <w:rPr>
          <w:rFonts w:ascii="Arial" w:hAnsi="Arial" w:cs="Arial"/>
        </w:rPr>
        <w:t xml:space="preserve"> </w:t>
      </w:r>
      <w:r w:rsidRPr="001F5668">
        <w:rPr>
          <w:rFonts w:ascii="Arial" w:hAnsi="Arial" w:cs="Arial"/>
        </w:rPr>
        <w:t>As reações transfusionais podem ser classificadas em imediatas (até 24 horas da transfusão) ou tardias (após 24 horas da transfusão), imunológicas e não-imunológicas</w:t>
      </w:r>
      <w:r w:rsidRPr="001F5668">
        <w:rPr>
          <w:rFonts w:ascii="Arial" w:hAnsi="Arial" w:cs="Arial"/>
        </w:rPr>
        <w:t>.</w:t>
      </w:r>
    </w:p>
    <w:p w14:paraId="4A4D7E36" w14:textId="4EB2CC67" w:rsidR="004F6F44" w:rsidRDefault="009D4B24" w:rsidP="001F5668">
      <w:pPr>
        <w:spacing w:line="360" w:lineRule="auto"/>
        <w:jc w:val="both"/>
        <w:rPr>
          <w:rFonts w:ascii="Arial" w:hAnsi="Arial" w:cs="Arial"/>
        </w:rPr>
      </w:pPr>
      <w:r w:rsidRPr="00DC4905">
        <w:rPr>
          <w:rFonts w:ascii="Arial" w:hAnsi="Arial" w:cs="Arial"/>
        </w:rPr>
        <w:t xml:space="preserve">Inicialmente as diferentes </w:t>
      </w:r>
      <w:r w:rsidR="00DC4905" w:rsidRPr="00DC4905">
        <w:rPr>
          <w:rFonts w:ascii="Arial" w:hAnsi="Arial" w:cs="Arial"/>
        </w:rPr>
        <w:t>reações</w:t>
      </w:r>
      <w:r w:rsidRPr="00DC4905">
        <w:rPr>
          <w:rFonts w:ascii="Arial" w:hAnsi="Arial" w:cs="Arial"/>
        </w:rPr>
        <w:t xml:space="preserve"> transfusionais podem apresentar-se com sinais e sintomas comuns a todos os tipos de </w:t>
      </w:r>
      <w:r w:rsidR="00DC4905" w:rsidRPr="00DC4905">
        <w:rPr>
          <w:rFonts w:ascii="Arial" w:hAnsi="Arial" w:cs="Arial"/>
        </w:rPr>
        <w:t>reações</w:t>
      </w:r>
      <w:r w:rsidRPr="00DC4905">
        <w:rPr>
          <w:rFonts w:ascii="Arial" w:hAnsi="Arial" w:cs="Arial"/>
        </w:rPr>
        <w:t xml:space="preserve">, o que dificulta a sua distinção. Assim sendo, pode acontecer que uma </w:t>
      </w:r>
      <w:r w:rsidR="00DC4905" w:rsidRPr="00DC4905">
        <w:rPr>
          <w:rFonts w:ascii="Arial" w:hAnsi="Arial" w:cs="Arial"/>
        </w:rPr>
        <w:t>reação</w:t>
      </w:r>
      <w:r w:rsidRPr="00DC4905">
        <w:rPr>
          <w:rFonts w:ascii="Arial" w:hAnsi="Arial" w:cs="Arial"/>
        </w:rPr>
        <w:t xml:space="preserve"> potencialmente fatal seja, inicialmente, interpretada como uma </w:t>
      </w:r>
      <w:r w:rsidR="00DC4905" w:rsidRPr="00DC4905">
        <w:rPr>
          <w:rFonts w:ascii="Arial" w:hAnsi="Arial" w:cs="Arial"/>
        </w:rPr>
        <w:t>reação</w:t>
      </w:r>
      <w:r w:rsidRPr="00DC4905">
        <w:rPr>
          <w:rFonts w:ascii="Arial" w:hAnsi="Arial" w:cs="Arial"/>
        </w:rPr>
        <w:t xml:space="preserve"> de menor gravidade ou até mesmo atribuída à patologia de base apresentada pelo doente. No caso das </w:t>
      </w:r>
      <w:r w:rsidR="00DC4905" w:rsidRPr="00DC4905">
        <w:rPr>
          <w:rFonts w:ascii="Arial" w:hAnsi="Arial" w:cs="Arial"/>
        </w:rPr>
        <w:t>reações</w:t>
      </w:r>
      <w:r w:rsidRPr="00DC4905">
        <w:rPr>
          <w:rFonts w:ascii="Arial" w:hAnsi="Arial" w:cs="Arial"/>
        </w:rPr>
        <w:t xml:space="preserve"> hemolíticas, causadas pela transfusão de eritrócitos ABO incompatíveis, os primeiros sintomas podem surgir após a perfusão de escassos mililitros. Deste modo, é fundamental que a </w:t>
      </w:r>
      <w:r w:rsidR="00DC4905" w:rsidRPr="00DC4905">
        <w:rPr>
          <w:rFonts w:ascii="Arial" w:hAnsi="Arial" w:cs="Arial"/>
        </w:rPr>
        <w:t>atuação</w:t>
      </w:r>
      <w:r w:rsidRPr="00DC4905">
        <w:rPr>
          <w:rFonts w:ascii="Arial" w:hAnsi="Arial" w:cs="Arial"/>
        </w:rPr>
        <w:t xml:space="preserve"> do enfermeiro, responsável pela administração da transfusão e vigilância do doente, seja </w:t>
      </w:r>
      <w:r w:rsidR="00DC4905" w:rsidRPr="00DC4905">
        <w:rPr>
          <w:rFonts w:ascii="Arial" w:hAnsi="Arial" w:cs="Arial"/>
        </w:rPr>
        <w:t>efetuada</w:t>
      </w:r>
      <w:r w:rsidRPr="00DC4905">
        <w:rPr>
          <w:rFonts w:ascii="Arial" w:hAnsi="Arial" w:cs="Arial"/>
        </w:rPr>
        <w:t xml:space="preserve"> com base em conhecimentos sólidos sobre os diferentes tipos de </w:t>
      </w:r>
      <w:r w:rsidR="00DC4905" w:rsidRPr="00DC4905">
        <w:rPr>
          <w:rFonts w:ascii="Arial" w:hAnsi="Arial" w:cs="Arial"/>
        </w:rPr>
        <w:t>reações</w:t>
      </w:r>
      <w:r w:rsidRPr="00DC4905">
        <w:rPr>
          <w:rFonts w:ascii="Arial" w:hAnsi="Arial" w:cs="Arial"/>
        </w:rPr>
        <w:t xml:space="preserve"> e como intervir em cada uma delas. A vigilância do doente, nomeadamente nos primeiros 15 minutos após o início da transfusão é fundamental para que possa ser </w:t>
      </w:r>
      <w:r w:rsidR="00DC4905" w:rsidRPr="00DC4905">
        <w:rPr>
          <w:rFonts w:ascii="Arial" w:hAnsi="Arial" w:cs="Arial"/>
        </w:rPr>
        <w:t>detetada</w:t>
      </w:r>
      <w:r w:rsidRPr="00DC4905">
        <w:rPr>
          <w:rFonts w:ascii="Arial" w:hAnsi="Arial" w:cs="Arial"/>
        </w:rPr>
        <w:t xml:space="preserve">, precocemente, uma possível </w:t>
      </w:r>
      <w:r w:rsidR="00DC4905" w:rsidRPr="00DC4905">
        <w:rPr>
          <w:rFonts w:ascii="Arial" w:hAnsi="Arial" w:cs="Arial"/>
        </w:rPr>
        <w:t>reação</w:t>
      </w:r>
      <w:r w:rsidRPr="00DC4905">
        <w:rPr>
          <w:rFonts w:ascii="Arial" w:hAnsi="Arial" w:cs="Arial"/>
        </w:rPr>
        <w:t xml:space="preserve"> adversa e intervir atempadamente, minimizando a ocorrência de efeitos adversos graves que podem culminar na morte do doente.</w:t>
      </w:r>
      <w:r w:rsidR="00EB4360">
        <w:rPr>
          <w:rFonts w:ascii="Arial" w:hAnsi="Arial" w:cs="Arial"/>
        </w:rPr>
        <w:t xml:space="preserve"> (Pina, 2013)</w:t>
      </w:r>
    </w:p>
    <w:p w14:paraId="287063CA" w14:textId="4C7046EF" w:rsidR="00EB4360" w:rsidRDefault="00023826" w:rsidP="001F5668">
      <w:pPr>
        <w:spacing w:line="360" w:lineRule="auto"/>
        <w:jc w:val="both"/>
        <w:rPr>
          <w:rFonts w:ascii="Arial" w:hAnsi="Arial" w:cs="Arial"/>
          <w:b/>
          <w:bCs/>
        </w:rPr>
      </w:pPr>
      <w:r w:rsidRPr="00023826">
        <w:rPr>
          <w:rFonts w:ascii="Arial" w:hAnsi="Arial" w:cs="Arial"/>
          <w:b/>
          <w:bCs/>
        </w:rPr>
        <w:t>REFERÊNCIAS BIBLIOGRÁFICAS</w:t>
      </w:r>
    </w:p>
    <w:p w14:paraId="54417895" w14:textId="77777777" w:rsidR="00904960" w:rsidRPr="00904960" w:rsidRDefault="00904960" w:rsidP="00904960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904960">
        <w:rPr>
          <w:rFonts w:ascii="Arial" w:hAnsi="Arial" w:cs="Arial"/>
        </w:rPr>
        <w:t xml:space="preserve">Amaral, F. (2015).  Enfermeiro e a prática da hemoterapia: jogos como estratégia de ensino. Centro Universitário De Volta Redonda. Recuperado de: </w:t>
      </w:r>
      <w:hyperlink r:id="rId8" w:history="1">
        <w:r w:rsidRPr="00904960">
          <w:rPr>
            <w:rStyle w:val="Hiperligao"/>
            <w:rFonts w:ascii="Arial" w:hAnsi="Arial" w:cs="Arial"/>
          </w:rPr>
          <w:t>https://sites.unifoa.edu.br/portal_ensino/mestrado/mecsma/arquivos/2015/fernando-salgado.pdf</w:t>
        </w:r>
      </w:hyperlink>
    </w:p>
    <w:p w14:paraId="6EBBE00A" w14:textId="77777777" w:rsidR="00904960" w:rsidRPr="00904960" w:rsidRDefault="00904960" w:rsidP="00904960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904960">
        <w:rPr>
          <w:rFonts w:ascii="Arial" w:hAnsi="Arial" w:cs="Arial"/>
        </w:rPr>
        <w:t xml:space="preserve">Bezerra, H. et al (2021). Enfermeiros e hemoterapia: conhecimentos técnicos e sobre supervisão de enfermagem. </w:t>
      </w:r>
      <w:r w:rsidRPr="00904960">
        <w:rPr>
          <w:rFonts w:ascii="Arial" w:hAnsi="Arial" w:cs="Arial"/>
        </w:rPr>
        <w:t>São Paulo: Rev Recien. 2021; 11(33):297-307.</w:t>
      </w:r>
      <w:r w:rsidRPr="00904960">
        <w:rPr>
          <w:rFonts w:ascii="Arial" w:hAnsi="Arial" w:cs="Arial"/>
        </w:rPr>
        <w:t xml:space="preserve"> </w:t>
      </w:r>
      <w:r w:rsidRPr="00904960">
        <w:rPr>
          <w:rFonts w:ascii="Arial" w:hAnsi="Arial" w:cs="Arial"/>
        </w:rPr>
        <w:t xml:space="preserve">DOI: </w:t>
      </w:r>
      <w:hyperlink r:id="rId9" w:history="1">
        <w:r w:rsidRPr="00904960">
          <w:rPr>
            <w:rStyle w:val="Hiperligao"/>
            <w:rFonts w:ascii="Arial" w:hAnsi="Arial" w:cs="Arial"/>
          </w:rPr>
          <w:t>https://doi.org/10.24276/rrecien2021.11.33.297 -30</w:t>
        </w:r>
        <w:r w:rsidRPr="00904960">
          <w:rPr>
            <w:rStyle w:val="Hiperligao"/>
            <w:rFonts w:ascii="Arial" w:hAnsi="Arial" w:cs="Arial"/>
          </w:rPr>
          <w:t>7</w:t>
        </w:r>
      </w:hyperlink>
    </w:p>
    <w:p w14:paraId="388EDFC3" w14:textId="77777777" w:rsidR="00904960" w:rsidRPr="00904960" w:rsidRDefault="00904960" w:rsidP="00904960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904960">
        <w:rPr>
          <w:rFonts w:ascii="Arial" w:hAnsi="Arial" w:cs="Arial"/>
        </w:rPr>
        <w:t xml:space="preserve">Pina, M. (2013). Cuidar com segurança na administração de componentes sanguíneos. Escola Superior de Enfermagem de Coimbra, Coimbra, Portugal. Recuperado de: </w:t>
      </w:r>
      <w:r w:rsidRPr="00904960">
        <w:rPr>
          <w:rFonts w:ascii="Arial" w:hAnsi="Arial" w:cs="Arial"/>
        </w:rPr>
        <w:t>https://web.esenfc.pt/pav02/include/download.php?id_ficheiro=27056&amp;codigo=979</w:t>
      </w:r>
    </w:p>
    <w:p w14:paraId="5C2B06B1" w14:textId="77777777" w:rsidR="00904960" w:rsidRPr="00904960" w:rsidRDefault="00904960" w:rsidP="00904960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904960">
        <w:rPr>
          <w:rFonts w:ascii="Arial" w:hAnsi="Arial" w:cs="Arial"/>
        </w:rPr>
        <w:t xml:space="preserve">Sosnoski, M. (s.d.) Cuidados na transfusão de hemocomponentes. Banco de Sangue. Recuperado de: </w:t>
      </w:r>
      <w:hyperlink r:id="rId10" w:history="1">
        <w:r w:rsidRPr="00904960">
          <w:rPr>
            <w:rStyle w:val="Hiperligao"/>
            <w:rFonts w:ascii="Arial" w:hAnsi="Arial" w:cs="Arial"/>
          </w:rPr>
          <w:t>https://saude.rs.gov.br/upload/arquivos/carga20190549/03154943-cuidados-transfusionais.pdf</w:t>
        </w:r>
      </w:hyperlink>
      <w:r w:rsidRPr="00904960">
        <w:rPr>
          <w:rFonts w:ascii="Arial" w:hAnsi="Arial" w:cs="Arial"/>
        </w:rPr>
        <w:t xml:space="preserve"> </w:t>
      </w:r>
    </w:p>
    <w:sectPr w:rsidR="00904960" w:rsidRPr="009049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7BF"/>
    <w:multiLevelType w:val="hybridMultilevel"/>
    <w:tmpl w:val="63ECF1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2359"/>
    <w:multiLevelType w:val="hybridMultilevel"/>
    <w:tmpl w:val="B0DC56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47E1"/>
    <w:multiLevelType w:val="hybridMultilevel"/>
    <w:tmpl w:val="AF62F5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C14"/>
    <w:multiLevelType w:val="hybridMultilevel"/>
    <w:tmpl w:val="31C80FB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49129C"/>
    <w:multiLevelType w:val="hybridMultilevel"/>
    <w:tmpl w:val="42DA18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16276"/>
    <w:multiLevelType w:val="hybridMultilevel"/>
    <w:tmpl w:val="329029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F60A6"/>
    <w:multiLevelType w:val="hybridMultilevel"/>
    <w:tmpl w:val="24122E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F0F37"/>
    <w:multiLevelType w:val="hybridMultilevel"/>
    <w:tmpl w:val="D5523E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E654F"/>
    <w:multiLevelType w:val="hybridMultilevel"/>
    <w:tmpl w:val="96162D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C6424"/>
    <w:multiLevelType w:val="hybridMultilevel"/>
    <w:tmpl w:val="30B27B2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8C4718"/>
    <w:multiLevelType w:val="hybridMultilevel"/>
    <w:tmpl w:val="2ED4F1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27460">
    <w:abstractNumId w:val="10"/>
  </w:num>
  <w:num w:numId="2" w16cid:durableId="1420567386">
    <w:abstractNumId w:val="9"/>
  </w:num>
  <w:num w:numId="3" w16cid:durableId="1890068859">
    <w:abstractNumId w:val="0"/>
  </w:num>
  <w:num w:numId="4" w16cid:durableId="1894000322">
    <w:abstractNumId w:val="7"/>
  </w:num>
  <w:num w:numId="5" w16cid:durableId="427584419">
    <w:abstractNumId w:val="3"/>
  </w:num>
  <w:num w:numId="6" w16cid:durableId="1895039402">
    <w:abstractNumId w:val="2"/>
  </w:num>
  <w:num w:numId="7" w16cid:durableId="598568003">
    <w:abstractNumId w:val="4"/>
  </w:num>
  <w:num w:numId="8" w16cid:durableId="190848345">
    <w:abstractNumId w:val="6"/>
  </w:num>
  <w:num w:numId="9" w16cid:durableId="174467656">
    <w:abstractNumId w:val="8"/>
  </w:num>
  <w:num w:numId="10" w16cid:durableId="932056865">
    <w:abstractNumId w:val="5"/>
  </w:num>
  <w:num w:numId="11" w16cid:durableId="1788305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A2"/>
    <w:rsid w:val="00001378"/>
    <w:rsid w:val="00011103"/>
    <w:rsid w:val="00023826"/>
    <w:rsid w:val="00040539"/>
    <w:rsid w:val="00134C9C"/>
    <w:rsid w:val="001E3BE5"/>
    <w:rsid w:val="001F5668"/>
    <w:rsid w:val="00217174"/>
    <w:rsid w:val="00233705"/>
    <w:rsid w:val="002424BD"/>
    <w:rsid w:val="002634F3"/>
    <w:rsid w:val="00267FDB"/>
    <w:rsid w:val="00271446"/>
    <w:rsid w:val="002C19E5"/>
    <w:rsid w:val="002E242B"/>
    <w:rsid w:val="003231EA"/>
    <w:rsid w:val="003909A6"/>
    <w:rsid w:val="00492540"/>
    <w:rsid w:val="004B3060"/>
    <w:rsid w:val="004F6F44"/>
    <w:rsid w:val="00501C1C"/>
    <w:rsid w:val="005267A6"/>
    <w:rsid w:val="00541C74"/>
    <w:rsid w:val="00572A08"/>
    <w:rsid w:val="00583FBF"/>
    <w:rsid w:val="005A1B85"/>
    <w:rsid w:val="00624DD6"/>
    <w:rsid w:val="00713B08"/>
    <w:rsid w:val="00721429"/>
    <w:rsid w:val="007557C5"/>
    <w:rsid w:val="00764B0D"/>
    <w:rsid w:val="00767A85"/>
    <w:rsid w:val="007A3E1D"/>
    <w:rsid w:val="007B128E"/>
    <w:rsid w:val="007E219D"/>
    <w:rsid w:val="007E4D05"/>
    <w:rsid w:val="00802A15"/>
    <w:rsid w:val="00807E8B"/>
    <w:rsid w:val="00887437"/>
    <w:rsid w:val="00904960"/>
    <w:rsid w:val="00904D19"/>
    <w:rsid w:val="00936940"/>
    <w:rsid w:val="00944F32"/>
    <w:rsid w:val="009475C4"/>
    <w:rsid w:val="0095397A"/>
    <w:rsid w:val="009622AC"/>
    <w:rsid w:val="009D4B24"/>
    <w:rsid w:val="009E26FF"/>
    <w:rsid w:val="009E546C"/>
    <w:rsid w:val="00A12386"/>
    <w:rsid w:val="00A22AC0"/>
    <w:rsid w:val="00A63E5F"/>
    <w:rsid w:val="00A77BE2"/>
    <w:rsid w:val="00A827A8"/>
    <w:rsid w:val="00AA3080"/>
    <w:rsid w:val="00AE2B14"/>
    <w:rsid w:val="00B228F8"/>
    <w:rsid w:val="00B55E2B"/>
    <w:rsid w:val="00B97B74"/>
    <w:rsid w:val="00C06EF6"/>
    <w:rsid w:val="00C3047E"/>
    <w:rsid w:val="00C379A5"/>
    <w:rsid w:val="00C44507"/>
    <w:rsid w:val="00CB61A2"/>
    <w:rsid w:val="00CC5D34"/>
    <w:rsid w:val="00CC79FB"/>
    <w:rsid w:val="00D217E8"/>
    <w:rsid w:val="00D94BFD"/>
    <w:rsid w:val="00DC4905"/>
    <w:rsid w:val="00DC7B9A"/>
    <w:rsid w:val="00E5261F"/>
    <w:rsid w:val="00EB4360"/>
    <w:rsid w:val="00F902CB"/>
    <w:rsid w:val="00FA7010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D733"/>
  <w15:chartTrackingRefBased/>
  <w15:docId w15:val="{89661762-651E-4999-8F3D-B452C77D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1A2"/>
    <w:pPr>
      <w:spacing w:line="254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semiHidden/>
    <w:unhideWhenUsed/>
    <w:qFormat/>
    <w:rsid w:val="00CB6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semiHidden/>
    <w:rsid w:val="00CB61A2"/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764B0D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64B0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64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unifoa.edu.br/portal_ensino/mestrado/mecsma/arquivos/2015/fernando-salgad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inha.mil.br/saudenaval/para-onde-vai-o-sangue-doa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aude.rs.gov.br/upload/arquivos/carga20190549/03154943-cuidados-transfusionai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4276/rrecien2021.11.33.297%20-30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1173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68</cp:revision>
  <dcterms:created xsi:type="dcterms:W3CDTF">2022-11-22T15:24:00Z</dcterms:created>
  <dcterms:modified xsi:type="dcterms:W3CDTF">2022-11-22T18:02:00Z</dcterms:modified>
</cp:coreProperties>
</file>