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6D" w:rsidRPr="00CD1758" w:rsidRDefault="00D32E6D" w:rsidP="00D32E6D">
      <w:pPr>
        <w:jc w:val="center"/>
        <w:rPr>
          <w:b/>
        </w:rPr>
      </w:pPr>
      <w:r w:rsidRPr="00CD1758">
        <w:rPr>
          <w:b/>
        </w:rPr>
        <w:t>ESCOLA SUPERIOR DE ENFERMAGEM DE COIMBRA</w:t>
      </w:r>
    </w:p>
    <w:p w:rsidR="00D32E6D" w:rsidRPr="00CD1758" w:rsidRDefault="00D32E6D" w:rsidP="0031035A">
      <w:pPr>
        <w:spacing w:line="360" w:lineRule="auto"/>
        <w:jc w:val="center"/>
        <w:rPr>
          <w:b/>
        </w:rPr>
      </w:pPr>
    </w:p>
    <w:p w:rsidR="00D32E6D" w:rsidRPr="00CD1758" w:rsidRDefault="00D32E6D" w:rsidP="0031035A">
      <w:pPr>
        <w:spacing w:line="360" w:lineRule="auto"/>
        <w:jc w:val="center"/>
        <w:rPr>
          <w:b/>
        </w:rPr>
      </w:pPr>
      <w:r w:rsidRPr="00CD1758">
        <w:rPr>
          <w:b/>
        </w:rPr>
        <w:t>CURSO DE LICENCIATURA EM ENFERMAGEM</w:t>
      </w:r>
    </w:p>
    <w:p w:rsidR="00D32E6D" w:rsidRPr="00CD1758" w:rsidRDefault="00D32E6D" w:rsidP="0031035A">
      <w:pPr>
        <w:spacing w:line="360" w:lineRule="auto"/>
        <w:jc w:val="center"/>
        <w:rPr>
          <w:b/>
        </w:rPr>
      </w:pPr>
    </w:p>
    <w:p w:rsidR="00D32E6D" w:rsidRPr="00CD1758" w:rsidRDefault="00CD76CC" w:rsidP="0031035A">
      <w:pPr>
        <w:spacing w:line="360" w:lineRule="auto"/>
        <w:jc w:val="center"/>
        <w:rPr>
          <w:b/>
        </w:rPr>
      </w:pPr>
      <w:r w:rsidRPr="00CD1758">
        <w:rPr>
          <w:b/>
        </w:rPr>
        <w:t>5.º Semestre 2</w:t>
      </w:r>
      <w:r w:rsidR="009B0805">
        <w:rPr>
          <w:b/>
        </w:rPr>
        <w:t>016</w:t>
      </w:r>
      <w:r w:rsidR="00D32E6D" w:rsidRPr="00CD1758">
        <w:rPr>
          <w:b/>
        </w:rPr>
        <w:t>/</w:t>
      </w:r>
      <w:r w:rsidR="009B0805">
        <w:rPr>
          <w:b/>
        </w:rPr>
        <w:t>2017</w:t>
      </w:r>
      <w:r w:rsidR="0031035A" w:rsidRPr="00CD1758">
        <w:rPr>
          <w:b/>
        </w:rPr>
        <w:t xml:space="preserve"> – TURMA</w:t>
      </w:r>
      <w:r w:rsidRPr="00CD1758">
        <w:rPr>
          <w:b/>
        </w:rPr>
        <w:t xml:space="preserve">S A; B; </w:t>
      </w:r>
      <w:r w:rsidR="0031035A" w:rsidRPr="00CD1758">
        <w:rPr>
          <w:b/>
        </w:rPr>
        <w:t xml:space="preserve">C </w:t>
      </w:r>
      <w:r w:rsidRPr="00CD1758">
        <w:rPr>
          <w:b/>
        </w:rPr>
        <w:t>e D</w:t>
      </w:r>
    </w:p>
    <w:p w:rsidR="00D32E6D" w:rsidRPr="00CD1758" w:rsidRDefault="00D32E6D" w:rsidP="0031035A">
      <w:pPr>
        <w:spacing w:line="360" w:lineRule="auto"/>
        <w:jc w:val="center"/>
        <w:rPr>
          <w:b/>
        </w:rPr>
      </w:pPr>
      <w:r w:rsidRPr="00CD1758">
        <w:rPr>
          <w:b/>
        </w:rPr>
        <w:t>Unidade Curricular: Enfermagem de Saúde Infantil e Pediatria</w:t>
      </w:r>
      <w:r w:rsidR="0031035A" w:rsidRPr="00CD1758">
        <w:rPr>
          <w:b/>
        </w:rPr>
        <w:t xml:space="preserve"> </w:t>
      </w:r>
    </w:p>
    <w:p w:rsidR="0031035A" w:rsidRPr="00CD1758" w:rsidRDefault="0031035A" w:rsidP="0031035A">
      <w:pPr>
        <w:spacing w:line="360" w:lineRule="auto"/>
        <w:jc w:val="center"/>
        <w:rPr>
          <w:b/>
        </w:rPr>
      </w:pPr>
    </w:p>
    <w:p w:rsidR="0031035A" w:rsidRPr="00CD1758" w:rsidRDefault="0031035A" w:rsidP="0031035A">
      <w:pPr>
        <w:spacing w:line="360" w:lineRule="auto"/>
        <w:jc w:val="center"/>
        <w:rPr>
          <w:b/>
        </w:rPr>
      </w:pPr>
      <w:r w:rsidRPr="00CD1758">
        <w:rPr>
          <w:b/>
        </w:rPr>
        <w:t>Indicadores de Saúde Específicos</w:t>
      </w:r>
    </w:p>
    <w:p w:rsidR="0031035A" w:rsidRPr="00CD1758" w:rsidRDefault="0031035A" w:rsidP="0031035A">
      <w:pPr>
        <w:spacing w:line="360" w:lineRule="auto"/>
        <w:jc w:val="center"/>
        <w:rPr>
          <w:b/>
        </w:rPr>
      </w:pPr>
    </w:p>
    <w:p w:rsidR="0031035A" w:rsidRPr="00CD1758" w:rsidRDefault="0031035A" w:rsidP="0031035A">
      <w:pPr>
        <w:spacing w:line="360" w:lineRule="auto"/>
        <w:rPr>
          <w:b/>
        </w:rPr>
      </w:pPr>
    </w:p>
    <w:p w:rsidR="0031035A" w:rsidRPr="00CD1758" w:rsidRDefault="0031035A" w:rsidP="0031035A">
      <w:pPr>
        <w:spacing w:line="360" w:lineRule="auto"/>
        <w:jc w:val="center"/>
        <w:rPr>
          <w:b/>
        </w:rPr>
      </w:pPr>
    </w:p>
    <w:p w:rsidR="0031035A" w:rsidRPr="00CD1758" w:rsidRDefault="0031035A" w:rsidP="0031035A">
      <w:pPr>
        <w:spacing w:line="360" w:lineRule="auto"/>
        <w:jc w:val="center"/>
        <w:rPr>
          <w:b/>
        </w:rPr>
      </w:pPr>
      <w:r w:rsidRPr="00CD1758">
        <w:rPr>
          <w:b/>
        </w:rPr>
        <w:t xml:space="preserve">Aula Teórico-Prática N.º 1 </w:t>
      </w:r>
    </w:p>
    <w:p w:rsidR="0031035A" w:rsidRDefault="0031035A" w:rsidP="0031035A">
      <w:pPr>
        <w:spacing w:line="360" w:lineRule="auto"/>
        <w:jc w:val="center"/>
        <w:rPr>
          <w:b/>
          <w:sz w:val="28"/>
          <w:szCs w:val="28"/>
        </w:rPr>
      </w:pPr>
    </w:p>
    <w:p w:rsidR="0031035A" w:rsidRDefault="0031035A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Objectivo</w:t>
      </w:r>
    </w:p>
    <w:p w:rsidR="0031035A" w:rsidRPr="00F14B6D" w:rsidRDefault="0031035A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</w:rPr>
      </w:pPr>
      <w:r w:rsidRPr="00F14B6D">
        <w:rPr>
          <w:b/>
        </w:rPr>
        <w:t>Evidenciar capacidades de análise e avaliação sobre os principais indicadores de saúde relaci</w:t>
      </w:r>
      <w:r w:rsidR="00F14B6D">
        <w:rPr>
          <w:b/>
        </w:rPr>
        <w:t xml:space="preserve">onados com a criança </w:t>
      </w:r>
      <w:r w:rsidR="007269A6">
        <w:rPr>
          <w:b/>
        </w:rPr>
        <w:t>em Portugal</w:t>
      </w:r>
    </w:p>
    <w:p w:rsidR="00F14B6D" w:rsidRDefault="00F14B6D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  <w:sz w:val="28"/>
          <w:szCs w:val="28"/>
        </w:rPr>
      </w:pPr>
    </w:p>
    <w:p w:rsidR="0031035A" w:rsidRDefault="0031035A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  <w:sz w:val="28"/>
          <w:szCs w:val="28"/>
        </w:rPr>
      </w:pPr>
      <w:r w:rsidRPr="0031035A">
        <w:rPr>
          <w:b/>
          <w:sz w:val="28"/>
          <w:szCs w:val="28"/>
        </w:rPr>
        <w:t>Metodologia</w:t>
      </w:r>
    </w:p>
    <w:p w:rsidR="00F14B6D" w:rsidRPr="00F14B6D" w:rsidRDefault="00F14B6D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</w:rPr>
      </w:pPr>
      <w:r w:rsidRPr="00F14B6D">
        <w:rPr>
          <w:b/>
        </w:rPr>
        <w:t xml:space="preserve">Trabalho em sala </w:t>
      </w:r>
      <w:r w:rsidR="008B2B02" w:rsidRPr="00F14B6D">
        <w:rPr>
          <w:b/>
        </w:rPr>
        <w:t>com a turma dividida em grupos</w:t>
      </w:r>
      <w:r w:rsidR="008B2B02">
        <w:rPr>
          <w:b/>
        </w:rPr>
        <w:t xml:space="preserve"> </w:t>
      </w:r>
      <w:r w:rsidR="007269A6">
        <w:rPr>
          <w:b/>
        </w:rPr>
        <w:t>ou trabalho individual</w:t>
      </w:r>
    </w:p>
    <w:p w:rsidR="00F14B6D" w:rsidRDefault="00F14B6D" w:rsidP="00F14B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b/>
        </w:rPr>
      </w:pPr>
      <w:r>
        <w:rPr>
          <w:b/>
        </w:rPr>
        <w:t>Análise</w:t>
      </w:r>
      <w:r w:rsidR="0031035A" w:rsidRPr="00F14B6D">
        <w:rPr>
          <w:b/>
        </w:rPr>
        <w:t xml:space="preserve"> </w:t>
      </w:r>
      <w:r>
        <w:rPr>
          <w:b/>
        </w:rPr>
        <w:t>d</w:t>
      </w:r>
      <w:r w:rsidRPr="00F14B6D">
        <w:rPr>
          <w:b/>
        </w:rPr>
        <w:t xml:space="preserve">as </w:t>
      </w:r>
      <w:r>
        <w:rPr>
          <w:b/>
        </w:rPr>
        <w:t>E</w:t>
      </w:r>
      <w:r w:rsidRPr="00F14B6D">
        <w:rPr>
          <w:b/>
        </w:rPr>
        <w:t xml:space="preserve">statísticas </w:t>
      </w:r>
      <w:r>
        <w:rPr>
          <w:b/>
        </w:rPr>
        <w:t>de S</w:t>
      </w:r>
      <w:r w:rsidRPr="00F14B6D">
        <w:rPr>
          <w:b/>
        </w:rPr>
        <w:t xml:space="preserve">aúde no período de </w:t>
      </w:r>
      <w:r w:rsidR="009B0805">
        <w:rPr>
          <w:b/>
        </w:rPr>
        <w:t>2010</w:t>
      </w:r>
      <w:r w:rsidR="00CD76CC">
        <w:rPr>
          <w:b/>
        </w:rPr>
        <w:t>-20</w:t>
      </w:r>
      <w:r w:rsidR="009B0805">
        <w:rPr>
          <w:b/>
        </w:rPr>
        <w:t>14</w:t>
      </w:r>
      <w:r w:rsidR="007269A6">
        <w:rPr>
          <w:b/>
        </w:rPr>
        <w:t xml:space="preserve"> em Portugal</w:t>
      </w:r>
    </w:p>
    <w:p w:rsidR="00F14B6D" w:rsidRDefault="00F14B6D" w:rsidP="00F14B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b/>
        </w:rPr>
      </w:pPr>
      <w:r>
        <w:rPr>
          <w:b/>
        </w:rPr>
        <w:t>Realizar os cálculos sobre taxas hipotéticas determinada</w:t>
      </w:r>
      <w:r w:rsidR="000D2A65">
        <w:rPr>
          <w:b/>
        </w:rPr>
        <w:t>s</w:t>
      </w:r>
      <w:r>
        <w:rPr>
          <w:b/>
        </w:rPr>
        <w:t xml:space="preserve"> populaç</w:t>
      </w:r>
      <w:r w:rsidR="000D2A65">
        <w:rPr>
          <w:b/>
        </w:rPr>
        <w:t>ões</w:t>
      </w:r>
    </w:p>
    <w:p w:rsidR="00F14B6D" w:rsidRDefault="00F14B6D" w:rsidP="00F14B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b/>
        </w:rPr>
      </w:pPr>
      <w:r>
        <w:rPr>
          <w:b/>
        </w:rPr>
        <w:t xml:space="preserve">Analisar </w:t>
      </w:r>
      <w:r w:rsidR="007269A6">
        <w:rPr>
          <w:b/>
        </w:rPr>
        <w:t xml:space="preserve">e interpretar </w:t>
      </w:r>
      <w:r>
        <w:rPr>
          <w:b/>
        </w:rPr>
        <w:t>os valores calculados</w:t>
      </w:r>
    </w:p>
    <w:p w:rsidR="00F14B6D" w:rsidRPr="00F14B6D" w:rsidRDefault="00F14B6D" w:rsidP="00F14B6D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b/>
        </w:rPr>
      </w:pPr>
    </w:p>
    <w:p w:rsidR="0031035A" w:rsidRPr="00E24120" w:rsidRDefault="0031035A" w:rsidP="0031035A">
      <w:pPr>
        <w:overflowPunct w:val="0"/>
        <w:autoSpaceDE w:val="0"/>
        <w:autoSpaceDN w:val="0"/>
        <w:adjustRightInd w:val="0"/>
        <w:spacing w:after="120" w:line="360" w:lineRule="auto"/>
        <w:ind w:left="360"/>
        <w:jc w:val="both"/>
        <w:textAlignment w:val="baseline"/>
        <w:rPr>
          <w:b/>
          <w:sz w:val="22"/>
          <w:szCs w:val="22"/>
        </w:rPr>
      </w:pPr>
    </w:p>
    <w:p w:rsidR="00CD1758" w:rsidRDefault="00F14B6D" w:rsidP="00965393">
      <w:pPr>
        <w:spacing w:line="360" w:lineRule="auto"/>
        <w:jc w:val="right"/>
        <w:rPr>
          <w:b/>
        </w:rPr>
      </w:pPr>
      <w:r w:rsidRPr="00F14B6D">
        <w:rPr>
          <w:b/>
        </w:rPr>
        <w:t>O PROFESSOR</w:t>
      </w:r>
    </w:p>
    <w:p w:rsidR="00CD1758" w:rsidRDefault="00965393" w:rsidP="00F14B6D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1428873C" wp14:editId="22BB9B1B">
            <wp:extent cx="1504950" cy="723900"/>
            <wp:effectExtent l="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A65" w:rsidRPr="00F14B6D" w:rsidRDefault="000D2A65" w:rsidP="00F14B6D">
      <w:pPr>
        <w:spacing w:line="360" w:lineRule="auto"/>
        <w:jc w:val="right"/>
        <w:rPr>
          <w:b/>
        </w:rPr>
      </w:pPr>
    </w:p>
    <w:p w:rsidR="0031035A" w:rsidRDefault="0031035A" w:rsidP="00D32E6D">
      <w:pPr>
        <w:jc w:val="center"/>
        <w:rPr>
          <w:b/>
          <w:sz w:val="28"/>
          <w:szCs w:val="28"/>
        </w:rPr>
      </w:pPr>
    </w:p>
    <w:p w:rsidR="006A2699" w:rsidRDefault="006A2699" w:rsidP="00F14B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275"/>
        <w:gridCol w:w="1418"/>
      </w:tblGrid>
      <w:tr w:rsidR="000D2A65" w:rsidRPr="00157228" w:rsidTr="00157228">
        <w:tc>
          <w:tcPr>
            <w:tcW w:w="8330" w:type="dxa"/>
            <w:gridSpan w:val="3"/>
          </w:tcPr>
          <w:p w:rsidR="000D2A65" w:rsidRPr="00157228" w:rsidRDefault="000D2A65" w:rsidP="00571C1A">
            <w:pPr>
              <w:shd w:val="clear" w:color="auto" w:fill="F2F2F2"/>
              <w:jc w:val="center"/>
              <w:rPr>
                <w:sz w:val="28"/>
                <w:szCs w:val="28"/>
              </w:rPr>
            </w:pPr>
            <w:r w:rsidRPr="00157228">
              <w:rPr>
                <w:sz w:val="28"/>
                <w:szCs w:val="28"/>
              </w:rPr>
              <w:lastRenderedPageBreak/>
              <w:t>EXERCÍCIOS PRÁTICOS</w:t>
            </w:r>
          </w:p>
          <w:p w:rsidR="000D2A65" w:rsidRPr="00157228" w:rsidRDefault="000D2A65" w:rsidP="00571C1A">
            <w:pPr>
              <w:shd w:val="clear" w:color="auto" w:fill="F2F2F2"/>
              <w:jc w:val="center"/>
              <w:rPr>
                <w:sz w:val="28"/>
                <w:szCs w:val="28"/>
              </w:rPr>
            </w:pPr>
          </w:p>
        </w:tc>
      </w:tr>
      <w:tr w:rsidR="000D2A65" w:rsidRPr="00157228" w:rsidTr="00157228">
        <w:trPr>
          <w:trHeight w:val="477"/>
        </w:trPr>
        <w:tc>
          <w:tcPr>
            <w:tcW w:w="5637" w:type="dxa"/>
            <w:vMerge w:val="restart"/>
          </w:tcPr>
          <w:p w:rsidR="000D2A65" w:rsidRPr="00157228" w:rsidRDefault="000D2A65" w:rsidP="00571C1A">
            <w:pPr>
              <w:shd w:val="clear" w:color="auto" w:fill="F2F2F2"/>
              <w:spacing w:line="360" w:lineRule="auto"/>
              <w:rPr>
                <w:b/>
              </w:rPr>
            </w:pPr>
          </w:p>
          <w:p w:rsidR="000D2A65" w:rsidRPr="00157228" w:rsidRDefault="000D2A65" w:rsidP="00571C1A">
            <w:pPr>
              <w:shd w:val="clear" w:color="auto" w:fill="F2F2F2"/>
              <w:spacing w:line="360" w:lineRule="auto"/>
              <w:rPr>
                <w:b/>
              </w:rPr>
            </w:pPr>
            <w:r w:rsidRPr="00157228">
              <w:rPr>
                <w:b/>
              </w:rPr>
              <w:t>População total a metade do ano</w:t>
            </w:r>
          </w:p>
        </w:tc>
        <w:tc>
          <w:tcPr>
            <w:tcW w:w="1275" w:type="dxa"/>
          </w:tcPr>
          <w:p w:rsidR="000D2A65" w:rsidRPr="000D2A65" w:rsidRDefault="000D2A65" w:rsidP="00571C1A">
            <w:pPr>
              <w:shd w:val="clear" w:color="auto" w:fill="F2F2F2"/>
              <w:spacing w:line="360" w:lineRule="auto"/>
              <w:jc w:val="center"/>
            </w:pPr>
            <w:r w:rsidRPr="000D2A65">
              <w:t>Região A</w:t>
            </w:r>
          </w:p>
        </w:tc>
        <w:tc>
          <w:tcPr>
            <w:tcW w:w="1418" w:type="dxa"/>
          </w:tcPr>
          <w:p w:rsidR="000D2A65" w:rsidRPr="000D2A65" w:rsidRDefault="000D2A65" w:rsidP="00571C1A">
            <w:pPr>
              <w:shd w:val="clear" w:color="auto" w:fill="F2F2F2"/>
              <w:spacing w:line="360" w:lineRule="auto"/>
              <w:jc w:val="center"/>
            </w:pPr>
            <w:r w:rsidRPr="000D2A65">
              <w:t>Região B</w:t>
            </w:r>
          </w:p>
        </w:tc>
      </w:tr>
      <w:tr w:rsidR="00F40391" w:rsidRPr="00157228" w:rsidTr="00571C1A">
        <w:tc>
          <w:tcPr>
            <w:tcW w:w="5637" w:type="dxa"/>
            <w:vMerge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9.000.000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5.000.000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rPr>
                <w:b/>
              </w:rPr>
            </w:pPr>
            <w:r w:rsidRPr="00157228">
              <w:rPr>
                <w:b/>
              </w:rPr>
              <w:t>Nº de nados vivos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ind w:right="224"/>
              <w:rPr>
                <w:b/>
              </w:rPr>
            </w:pPr>
            <w:r w:rsidRPr="00157228">
              <w:rPr>
                <w:b/>
              </w:rPr>
              <w:t>Mortes de menores de ano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tabs>
                <w:tab w:val="left" w:pos="8280"/>
              </w:tabs>
              <w:spacing w:line="360" w:lineRule="auto"/>
              <w:ind w:right="224"/>
              <w:rPr>
                <w:b/>
              </w:rPr>
            </w:pPr>
            <w:r w:rsidRPr="00157228">
              <w:rPr>
                <w:b/>
              </w:rPr>
              <w:t>Mortes de menores de 5 anos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ind w:right="224"/>
              <w:rPr>
                <w:b/>
              </w:rPr>
            </w:pPr>
            <w:r w:rsidRPr="00157228">
              <w:rPr>
                <w:b/>
              </w:rPr>
              <w:t>Fetos mortos com mais de 28 semanas de gestação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rPr>
                <w:b/>
              </w:rPr>
            </w:pPr>
            <w:r w:rsidRPr="00157228">
              <w:rPr>
                <w:b/>
              </w:rPr>
              <w:t>Mortes de menores de 28 dias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rPr>
                <w:b/>
              </w:rPr>
            </w:pPr>
            <w:r w:rsidRPr="00157228">
              <w:rPr>
                <w:b/>
              </w:rPr>
              <w:t>Mortes de menores de 7 dias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F40391" w:rsidRPr="00157228" w:rsidTr="00571C1A">
        <w:tc>
          <w:tcPr>
            <w:tcW w:w="5637" w:type="dxa"/>
          </w:tcPr>
          <w:p w:rsidR="00F40391" w:rsidRPr="00157228" w:rsidRDefault="00F40391" w:rsidP="00571C1A">
            <w:pPr>
              <w:shd w:val="clear" w:color="auto" w:fill="F2F2F2"/>
              <w:spacing w:line="360" w:lineRule="auto"/>
              <w:ind w:right="224"/>
              <w:rPr>
                <w:b/>
              </w:rPr>
            </w:pPr>
            <w:r w:rsidRPr="00157228">
              <w:rPr>
                <w:b/>
              </w:rPr>
              <w:t xml:space="preserve">Mortes de crianças de 28 dias e menos de 365 dias </w:t>
            </w:r>
          </w:p>
        </w:tc>
        <w:tc>
          <w:tcPr>
            <w:tcW w:w="1275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F40391" w:rsidRDefault="00F40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</w:tbl>
    <w:p w:rsidR="007346F4" w:rsidRPr="00520970" w:rsidRDefault="007346F4" w:rsidP="00571C1A">
      <w:pPr>
        <w:shd w:val="clear" w:color="auto" w:fill="F2F2F2"/>
        <w:spacing w:line="360" w:lineRule="auto"/>
        <w:jc w:val="both"/>
      </w:pPr>
    </w:p>
    <w:p w:rsidR="009F2354" w:rsidRPr="005E7F44" w:rsidRDefault="009F2354" w:rsidP="00571C1A">
      <w:p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 xml:space="preserve">Tendo em consideração as estatísticas </w:t>
      </w:r>
      <w:r w:rsidR="000D2A65" w:rsidRPr="005E7F44">
        <w:rPr>
          <w:b/>
        </w:rPr>
        <w:t>destas populações</w:t>
      </w:r>
      <w:r w:rsidRPr="005E7F44">
        <w:rPr>
          <w:b/>
        </w:rPr>
        <w:t>, calcule os seguintes indicadores:</w:t>
      </w:r>
    </w:p>
    <w:p w:rsidR="00087C39" w:rsidRPr="005E7F44" w:rsidRDefault="003C361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natalidade;</w:t>
      </w:r>
      <w:r w:rsidR="007362C0" w:rsidRPr="005E7F44">
        <w:rPr>
          <w:b/>
        </w:rPr>
        <w:t xml:space="preserve"> </w:t>
      </w:r>
    </w:p>
    <w:p w:rsidR="00087C39" w:rsidRPr="005E7F44" w:rsidRDefault="003C361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mortalidade infantil;</w:t>
      </w:r>
      <w:r w:rsidR="00EA2288" w:rsidRPr="005E7F44">
        <w:rPr>
          <w:b/>
        </w:rPr>
        <w:t xml:space="preserve"> </w:t>
      </w:r>
    </w:p>
    <w:p w:rsidR="003C3617" w:rsidRPr="005E7F44" w:rsidRDefault="003C361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 xml:space="preserve">Taxa de mortalidade </w:t>
      </w:r>
      <w:r w:rsidR="00CD1758" w:rsidRPr="005E7F44">
        <w:rPr>
          <w:b/>
        </w:rPr>
        <w:t>para</w:t>
      </w:r>
      <w:r w:rsidR="00B12057" w:rsidRPr="005E7F44">
        <w:rPr>
          <w:b/>
        </w:rPr>
        <w:t xml:space="preserve"> menores de 5 anos;</w:t>
      </w:r>
      <w:r w:rsidR="007362C0" w:rsidRPr="005E7F44">
        <w:rPr>
          <w:b/>
        </w:rPr>
        <w:t xml:space="preserve"> </w:t>
      </w:r>
    </w:p>
    <w:p w:rsidR="00087C39" w:rsidRPr="005E7F44" w:rsidRDefault="00B1205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mortalidade neonatal;</w:t>
      </w:r>
      <w:r w:rsidR="00C442B2" w:rsidRPr="005E7F44">
        <w:rPr>
          <w:b/>
        </w:rPr>
        <w:t xml:space="preserve"> </w:t>
      </w:r>
    </w:p>
    <w:p w:rsidR="00087C39" w:rsidRPr="005E7F44" w:rsidRDefault="00B1205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mortalidade neonatal tardia;</w:t>
      </w:r>
      <w:r w:rsidR="00C442B2" w:rsidRPr="005E7F44">
        <w:rPr>
          <w:b/>
        </w:rPr>
        <w:t xml:space="preserve"> </w:t>
      </w:r>
    </w:p>
    <w:p w:rsidR="00087C39" w:rsidRPr="005E7F44" w:rsidRDefault="00B1205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mortalidade neonatal precoce;</w:t>
      </w:r>
      <w:r w:rsidR="00C442B2" w:rsidRPr="005E7F44">
        <w:rPr>
          <w:b/>
        </w:rPr>
        <w:t xml:space="preserve"> </w:t>
      </w:r>
    </w:p>
    <w:p w:rsidR="00087C39" w:rsidRPr="005E7F44" w:rsidRDefault="00B12057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</w:rPr>
      </w:pPr>
      <w:r w:rsidRPr="005E7F44">
        <w:rPr>
          <w:b/>
        </w:rPr>
        <w:t>Taxa de mortalidade pós neonatal;</w:t>
      </w:r>
    </w:p>
    <w:p w:rsidR="00C15476" w:rsidRPr="005E7F44" w:rsidRDefault="00087C39" w:rsidP="00571C1A">
      <w:pPr>
        <w:numPr>
          <w:ilvl w:val="0"/>
          <w:numId w:val="1"/>
        </w:numPr>
        <w:shd w:val="clear" w:color="auto" w:fill="F2F2F2"/>
        <w:spacing w:line="360" w:lineRule="auto"/>
        <w:jc w:val="both"/>
        <w:rPr>
          <w:b/>
          <w:sz w:val="28"/>
          <w:szCs w:val="28"/>
        </w:rPr>
      </w:pPr>
      <w:r w:rsidRPr="005E7F44">
        <w:rPr>
          <w:b/>
        </w:rPr>
        <w:t xml:space="preserve"> </w:t>
      </w:r>
      <w:r w:rsidR="00B12057" w:rsidRPr="005E7F44">
        <w:rPr>
          <w:b/>
        </w:rPr>
        <w:t>Taxa de mortalidade perinatal;</w:t>
      </w:r>
      <w:r w:rsidR="00770744" w:rsidRPr="005E7F44">
        <w:rPr>
          <w:b/>
        </w:rPr>
        <w:t xml:space="preserve"> </w:t>
      </w:r>
    </w:p>
    <w:p w:rsidR="00C15476" w:rsidRDefault="00C15476" w:rsidP="002C67E6">
      <w:pPr>
        <w:spacing w:line="360" w:lineRule="auto"/>
        <w:jc w:val="center"/>
        <w:rPr>
          <w:b/>
          <w:sz w:val="28"/>
          <w:szCs w:val="28"/>
        </w:rPr>
      </w:pPr>
    </w:p>
    <w:p w:rsidR="002C67E6" w:rsidRPr="007346F4" w:rsidRDefault="002C67E6" w:rsidP="00965393">
      <w:pPr>
        <w:spacing w:line="360" w:lineRule="auto"/>
        <w:rPr>
          <w:b/>
        </w:rPr>
      </w:pPr>
      <w:r w:rsidRPr="007346F4">
        <w:rPr>
          <w:b/>
        </w:rPr>
        <w:t xml:space="preserve">INDICADORES DE SAÚDE </w:t>
      </w:r>
      <w:r w:rsidR="00D32E6D" w:rsidRPr="007346F4">
        <w:rPr>
          <w:b/>
        </w:rPr>
        <w:t>–</w:t>
      </w:r>
      <w:r w:rsidRPr="007346F4">
        <w:rPr>
          <w:b/>
        </w:rPr>
        <w:t xml:space="preserve"> PEDIATRIA</w:t>
      </w:r>
    </w:p>
    <w:p w:rsidR="002C67E6" w:rsidRPr="007346F4" w:rsidRDefault="002C67E6" w:rsidP="0006083F">
      <w:pPr>
        <w:spacing w:line="360" w:lineRule="auto"/>
        <w:jc w:val="both"/>
        <w:rPr>
          <w:b/>
        </w:rPr>
      </w:pPr>
    </w:p>
    <w:p w:rsidR="00544C78" w:rsidRPr="007346F4" w:rsidRDefault="00544C78" w:rsidP="0006083F">
      <w:pPr>
        <w:spacing w:line="360" w:lineRule="auto"/>
        <w:jc w:val="both"/>
        <w:rPr>
          <w:b/>
        </w:rPr>
      </w:pPr>
    </w:p>
    <w:p w:rsidR="0006083F" w:rsidRPr="007346F4" w:rsidRDefault="0006083F" w:rsidP="002C67E6">
      <w:pPr>
        <w:spacing w:line="360" w:lineRule="auto"/>
        <w:jc w:val="both"/>
        <w:rPr>
          <w:b/>
        </w:rPr>
      </w:pPr>
      <w:r w:rsidRPr="007346F4">
        <w:rPr>
          <w:b/>
        </w:rPr>
        <w:t>Taxa de natalidade</w:t>
      </w:r>
    </w:p>
    <w:p w:rsidR="002C67E6" w:rsidRPr="007346F4" w:rsidRDefault="002C67E6" w:rsidP="002C67E6">
      <w:pPr>
        <w:spacing w:line="360" w:lineRule="auto"/>
        <w:jc w:val="both"/>
        <w:rPr>
          <w:b/>
        </w:rPr>
      </w:pPr>
    </w:p>
    <w:p w:rsidR="0006083F" w:rsidRPr="007346F4" w:rsidRDefault="0006083F" w:rsidP="0006083F">
      <w:pPr>
        <w:jc w:val="center"/>
      </w:pPr>
      <w:r w:rsidRPr="007346F4">
        <w:t>Nº de nascidos vivos numa área do ano</w:t>
      </w:r>
    </w:p>
    <w:p w:rsidR="0006083F" w:rsidRPr="007346F4" w:rsidRDefault="0006083F" w:rsidP="0006083F">
      <w:pPr>
        <w:jc w:val="center"/>
        <w:rPr>
          <w:vertAlign w:val="superscript"/>
        </w:rPr>
      </w:pPr>
      <w:proofErr w:type="gramStart"/>
      <w:r w:rsidRPr="007346F4">
        <w:t>_________________________________________________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06083F" w:rsidRPr="007346F4" w:rsidRDefault="0006083F" w:rsidP="0006083F">
      <w:pPr>
        <w:jc w:val="center"/>
      </w:pPr>
      <w:r w:rsidRPr="007346F4">
        <w:t>População da área ajustada para o meio do ano</w:t>
      </w:r>
    </w:p>
    <w:p w:rsidR="0006083F" w:rsidRPr="007346F4" w:rsidRDefault="0006083F" w:rsidP="0006083F">
      <w:pPr>
        <w:jc w:val="center"/>
        <w:rPr>
          <w:b/>
        </w:rPr>
      </w:pPr>
    </w:p>
    <w:p w:rsidR="0006083F" w:rsidRPr="007346F4" w:rsidRDefault="0006083F" w:rsidP="002C67E6">
      <w:pPr>
        <w:rPr>
          <w:b/>
        </w:rPr>
      </w:pPr>
    </w:p>
    <w:p w:rsidR="0006083F" w:rsidRPr="007346F4" w:rsidRDefault="0006083F" w:rsidP="0006083F">
      <w:pPr>
        <w:jc w:val="center"/>
        <w:rPr>
          <w:b/>
        </w:rPr>
      </w:pPr>
    </w:p>
    <w:p w:rsidR="00965393" w:rsidRDefault="00965393" w:rsidP="007346F4">
      <w:pPr>
        <w:spacing w:line="360" w:lineRule="auto"/>
        <w:rPr>
          <w:b/>
        </w:rPr>
      </w:pPr>
    </w:p>
    <w:p w:rsidR="00965393" w:rsidRDefault="00965393" w:rsidP="007346F4">
      <w:pPr>
        <w:spacing w:line="360" w:lineRule="auto"/>
        <w:rPr>
          <w:b/>
        </w:rPr>
      </w:pPr>
    </w:p>
    <w:p w:rsidR="0006083F" w:rsidRPr="007346F4" w:rsidRDefault="0006083F" w:rsidP="007346F4">
      <w:pPr>
        <w:spacing w:line="360" w:lineRule="auto"/>
        <w:rPr>
          <w:b/>
        </w:rPr>
      </w:pPr>
      <w:r w:rsidRPr="007346F4">
        <w:rPr>
          <w:b/>
        </w:rPr>
        <w:lastRenderedPageBreak/>
        <w:t>Taxa de mortalidade infantil</w:t>
      </w:r>
    </w:p>
    <w:p w:rsidR="001B1BB0" w:rsidRPr="007346F4" w:rsidRDefault="001B1BB0" w:rsidP="007346F4">
      <w:pPr>
        <w:spacing w:line="360" w:lineRule="auto"/>
        <w:rPr>
          <w:b/>
        </w:rPr>
      </w:pPr>
    </w:p>
    <w:p w:rsidR="0006083F" w:rsidRPr="007346F4" w:rsidRDefault="0006083F" w:rsidP="007346F4">
      <w:pPr>
        <w:spacing w:line="360" w:lineRule="auto"/>
        <w:jc w:val="center"/>
      </w:pPr>
      <w:r w:rsidRPr="007346F4">
        <w:t>Nº de óbitos com menos de 1 ano de vida</w:t>
      </w:r>
    </w:p>
    <w:p w:rsidR="0006566C" w:rsidRPr="007346F4" w:rsidRDefault="0006566C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__________________________________________________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06566C" w:rsidRPr="007346F4" w:rsidRDefault="0006566C" w:rsidP="007346F4">
      <w:pPr>
        <w:spacing w:line="360" w:lineRule="auto"/>
        <w:jc w:val="center"/>
      </w:pPr>
      <w:r w:rsidRPr="007346F4">
        <w:t>Total de nados vivos nascidos nesse ano</w:t>
      </w:r>
    </w:p>
    <w:p w:rsidR="0006566C" w:rsidRDefault="0006566C" w:rsidP="007346F4">
      <w:pPr>
        <w:spacing w:line="360" w:lineRule="auto"/>
      </w:pPr>
    </w:p>
    <w:p w:rsidR="007346F4" w:rsidRPr="007346F4" w:rsidRDefault="007346F4" w:rsidP="007346F4">
      <w:pPr>
        <w:spacing w:line="360" w:lineRule="auto"/>
      </w:pPr>
    </w:p>
    <w:p w:rsidR="0006566C" w:rsidRPr="007346F4" w:rsidRDefault="0006566C" w:rsidP="007346F4">
      <w:pPr>
        <w:spacing w:line="360" w:lineRule="auto"/>
        <w:rPr>
          <w:b/>
        </w:rPr>
      </w:pPr>
      <w:r w:rsidRPr="007346F4">
        <w:rPr>
          <w:b/>
        </w:rPr>
        <w:t xml:space="preserve">Taxa de mortalidade </w:t>
      </w:r>
      <w:r w:rsidR="00CD1758">
        <w:rPr>
          <w:b/>
        </w:rPr>
        <w:t>para menores de cinco anos</w:t>
      </w:r>
    </w:p>
    <w:p w:rsidR="001B1BB0" w:rsidRPr="007346F4" w:rsidRDefault="001B1BB0" w:rsidP="007346F4">
      <w:pPr>
        <w:spacing w:line="360" w:lineRule="auto"/>
        <w:jc w:val="center"/>
        <w:rPr>
          <w:b/>
        </w:rPr>
      </w:pPr>
    </w:p>
    <w:p w:rsidR="0006566C" w:rsidRPr="007346F4" w:rsidRDefault="00CD1758" w:rsidP="007346F4">
      <w:pPr>
        <w:spacing w:line="360" w:lineRule="auto"/>
        <w:jc w:val="center"/>
      </w:pPr>
      <w:r>
        <w:t>N.º de</w:t>
      </w:r>
      <w:r w:rsidR="0006566C" w:rsidRPr="007346F4">
        <w:t xml:space="preserve"> óbitos ocorridos </w:t>
      </w:r>
      <w:r>
        <w:t>em menores de cinco anos</w:t>
      </w:r>
    </w:p>
    <w:p w:rsidR="0006566C" w:rsidRPr="007346F4" w:rsidRDefault="0006566C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_______________________________________________   x</w:t>
      </w:r>
      <w:proofErr w:type="gramEnd"/>
      <w:r w:rsidRPr="007346F4">
        <w:t xml:space="preserve"> 10</w:t>
      </w:r>
      <w:r w:rsidR="00CD1758">
        <w:rPr>
          <w:vertAlign w:val="superscript"/>
        </w:rPr>
        <w:t>3</w:t>
      </w:r>
    </w:p>
    <w:p w:rsidR="00CD1758" w:rsidRPr="007346F4" w:rsidRDefault="00CD1758" w:rsidP="00CD1758">
      <w:pPr>
        <w:spacing w:line="360" w:lineRule="auto"/>
        <w:jc w:val="center"/>
      </w:pPr>
      <w:r w:rsidRPr="007346F4">
        <w:t>Total de nados vivos nascidos nesse ano</w:t>
      </w:r>
    </w:p>
    <w:p w:rsidR="002C67E6" w:rsidRDefault="002C67E6" w:rsidP="007346F4">
      <w:pPr>
        <w:spacing w:line="360" w:lineRule="auto"/>
      </w:pPr>
    </w:p>
    <w:p w:rsidR="007346F4" w:rsidRPr="007346F4" w:rsidRDefault="007346F4" w:rsidP="007346F4">
      <w:pPr>
        <w:spacing w:line="360" w:lineRule="auto"/>
      </w:pPr>
    </w:p>
    <w:p w:rsidR="002C67E6" w:rsidRPr="007346F4" w:rsidRDefault="002C67E6" w:rsidP="007346F4">
      <w:pPr>
        <w:spacing w:line="360" w:lineRule="auto"/>
        <w:rPr>
          <w:b/>
        </w:rPr>
      </w:pPr>
      <w:r w:rsidRPr="007346F4">
        <w:rPr>
          <w:b/>
        </w:rPr>
        <w:t>Taxa de mortalidade neonatal precoce</w:t>
      </w:r>
    </w:p>
    <w:p w:rsidR="001B1BB0" w:rsidRPr="007346F4" w:rsidRDefault="001B1BB0" w:rsidP="007346F4">
      <w:pPr>
        <w:spacing w:line="360" w:lineRule="auto"/>
        <w:rPr>
          <w:b/>
        </w:rPr>
      </w:pPr>
    </w:p>
    <w:p w:rsidR="002C67E6" w:rsidRPr="007346F4" w:rsidRDefault="002C67E6" w:rsidP="007346F4">
      <w:pPr>
        <w:spacing w:line="360" w:lineRule="auto"/>
        <w:jc w:val="center"/>
      </w:pPr>
      <w:r w:rsidRPr="007346F4">
        <w:t>Nº de óbitos de crianças com menos de 7 dias</w:t>
      </w:r>
    </w:p>
    <w:p w:rsidR="002C67E6" w:rsidRPr="007346F4" w:rsidRDefault="002C67E6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_______________________________________________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2C67E6" w:rsidRPr="007346F4" w:rsidRDefault="002C67E6" w:rsidP="007346F4">
      <w:pPr>
        <w:spacing w:line="360" w:lineRule="auto"/>
        <w:jc w:val="center"/>
      </w:pPr>
      <w:r w:rsidRPr="007346F4">
        <w:t>Total de nados vivos nascidos nesse ano</w:t>
      </w:r>
    </w:p>
    <w:p w:rsidR="001B1BB0" w:rsidRPr="007346F4" w:rsidRDefault="001B1BB0" w:rsidP="007346F4">
      <w:pPr>
        <w:spacing w:line="360" w:lineRule="auto"/>
      </w:pPr>
    </w:p>
    <w:p w:rsidR="002C67E6" w:rsidRPr="007346F4" w:rsidRDefault="001B1BB0" w:rsidP="007346F4">
      <w:pPr>
        <w:spacing w:line="360" w:lineRule="auto"/>
        <w:rPr>
          <w:b/>
        </w:rPr>
      </w:pPr>
      <w:r w:rsidRPr="007346F4">
        <w:rPr>
          <w:b/>
        </w:rPr>
        <w:t>Taxa de mortalidade neonatal tardia</w:t>
      </w:r>
    </w:p>
    <w:p w:rsidR="001B1BB0" w:rsidRPr="007346F4" w:rsidRDefault="001B1BB0" w:rsidP="007346F4">
      <w:pPr>
        <w:spacing w:line="360" w:lineRule="auto"/>
        <w:rPr>
          <w:b/>
        </w:rPr>
      </w:pPr>
    </w:p>
    <w:p w:rsidR="001B1BB0" w:rsidRPr="007346F4" w:rsidRDefault="001B1BB0" w:rsidP="007346F4">
      <w:pPr>
        <w:spacing w:line="360" w:lineRule="auto"/>
        <w:jc w:val="center"/>
      </w:pPr>
      <w:r w:rsidRPr="007346F4">
        <w:t xml:space="preserve">Nº de óbitos de crianças com </w:t>
      </w:r>
      <w:smartTag w:uri="urn:schemas-microsoft-com:office:smarttags" w:element="metricconverter">
        <w:smartTagPr>
          <w:attr w:name="ProductID" w:val="7 a"/>
        </w:smartTagPr>
        <w:r w:rsidRPr="007346F4">
          <w:t>7 a</w:t>
        </w:r>
      </w:smartTag>
      <w:r w:rsidRPr="007346F4">
        <w:t xml:space="preserve"> </w:t>
      </w:r>
      <w:r w:rsidR="006C1FB5">
        <w:t>27</w:t>
      </w:r>
      <w:r w:rsidRPr="007346F4">
        <w:t xml:space="preserve"> dias</w:t>
      </w:r>
      <w:r w:rsidR="006C1FB5">
        <w:t xml:space="preserve"> </w:t>
      </w:r>
    </w:p>
    <w:p w:rsidR="001B1BB0" w:rsidRPr="007346F4" w:rsidRDefault="001B1BB0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  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1B1BB0" w:rsidRPr="007346F4" w:rsidRDefault="001B1BB0" w:rsidP="007346F4">
      <w:pPr>
        <w:spacing w:line="360" w:lineRule="auto"/>
        <w:jc w:val="center"/>
      </w:pPr>
      <w:r w:rsidRPr="007346F4">
        <w:t>Total de nados vivos nascidos nesse ano</w:t>
      </w:r>
    </w:p>
    <w:p w:rsidR="001B1BB0" w:rsidRPr="007346F4" w:rsidRDefault="001B1BB0" w:rsidP="007346F4">
      <w:pPr>
        <w:spacing w:line="360" w:lineRule="auto"/>
        <w:rPr>
          <w:b/>
        </w:rPr>
      </w:pPr>
      <w:r w:rsidRPr="007346F4">
        <w:rPr>
          <w:b/>
        </w:rPr>
        <w:t>Taxa de mortalidade neonatal</w:t>
      </w:r>
    </w:p>
    <w:p w:rsidR="001B1BB0" w:rsidRPr="007346F4" w:rsidRDefault="001B1BB0" w:rsidP="007346F4">
      <w:pPr>
        <w:spacing w:line="360" w:lineRule="auto"/>
        <w:rPr>
          <w:b/>
        </w:rPr>
      </w:pPr>
    </w:p>
    <w:p w:rsidR="001B1BB0" w:rsidRPr="007346F4" w:rsidRDefault="001B1BB0" w:rsidP="007346F4">
      <w:pPr>
        <w:spacing w:line="360" w:lineRule="auto"/>
        <w:rPr>
          <w:b/>
        </w:rPr>
      </w:pPr>
    </w:p>
    <w:p w:rsidR="001B1BB0" w:rsidRPr="007346F4" w:rsidRDefault="001B1BB0" w:rsidP="007346F4">
      <w:pPr>
        <w:spacing w:line="360" w:lineRule="auto"/>
        <w:jc w:val="center"/>
      </w:pPr>
      <w:r w:rsidRPr="007346F4">
        <w:t>Nº de óbitos de crianças com menos de 28 dias</w:t>
      </w:r>
    </w:p>
    <w:p w:rsidR="001B1BB0" w:rsidRPr="007346F4" w:rsidRDefault="001B1BB0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_______________________________________________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1B1BB0" w:rsidRPr="007346F4" w:rsidRDefault="001B1BB0" w:rsidP="007346F4">
      <w:pPr>
        <w:spacing w:line="360" w:lineRule="auto"/>
        <w:jc w:val="center"/>
      </w:pPr>
      <w:r w:rsidRPr="007346F4">
        <w:t>Total de nados vivos nascidos nesse ano</w:t>
      </w:r>
    </w:p>
    <w:p w:rsidR="001B1BB0" w:rsidRPr="007346F4" w:rsidRDefault="001B1BB0" w:rsidP="007346F4">
      <w:pPr>
        <w:spacing w:line="360" w:lineRule="auto"/>
      </w:pPr>
    </w:p>
    <w:p w:rsidR="001B1BB0" w:rsidRPr="007346F4" w:rsidRDefault="001B1BB0" w:rsidP="007346F4">
      <w:pPr>
        <w:spacing w:line="360" w:lineRule="auto"/>
        <w:rPr>
          <w:b/>
        </w:rPr>
      </w:pPr>
      <w:r w:rsidRPr="007346F4">
        <w:rPr>
          <w:b/>
        </w:rPr>
        <w:t>Taxa de mortalidade pós neonatal</w:t>
      </w:r>
    </w:p>
    <w:p w:rsidR="001B1BB0" w:rsidRPr="007346F4" w:rsidRDefault="001B1BB0" w:rsidP="007346F4">
      <w:pPr>
        <w:spacing w:line="360" w:lineRule="auto"/>
        <w:rPr>
          <w:b/>
        </w:rPr>
      </w:pPr>
    </w:p>
    <w:p w:rsidR="001B1BB0" w:rsidRPr="007346F4" w:rsidRDefault="00185E04" w:rsidP="007346F4">
      <w:pPr>
        <w:spacing w:line="360" w:lineRule="auto"/>
        <w:jc w:val="center"/>
      </w:pPr>
      <w:r>
        <w:lastRenderedPageBreak/>
        <w:t>Nº de óbitos de crianças com 28</w:t>
      </w:r>
      <w:r w:rsidR="001B1BB0" w:rsidRPr="007346F4">
        <w:t xml:space="preserve"> a 365 dias</w:t>
      </w:r>
    </w:p>
    <w:p w:rsidR="001B1BB0" w:rsidRPr="007346F4" w:rsidRDefault="001B1BB0" w:rsidP="007346F4">
      <w:pPr>
        <w:spacing w:line="360" w:lineRule="auto"/>
        <w:jc w:val="center"/>
        <w:rPr>
          <w:vertAlign w:val="superscript"/>
        </w:rPr>
      </w:pPr>
      <w:r w:rsidRPr="007346F4">
        <w:t>_______________________________________________</w:t>
      </w:r>
      <w:r w:rsidR="006131CF" w:rsidRPr="007346F4">
        <w:t>_________</w:t>
      </w:r>
      <w:r w:rsidRPr="007346F4">
        <w:t>x 10</w:t>
      </w:r>
      <w:r w:rsidRPr="007346F4">
        <w:rPr>
          <w:vertAlign w:val="superscript"/>
        </w:rPr>
        <w:t>3</w:t>
      </w:r>
    </w:p>
    <w:p w:rsidR="001B1BB0" w:rsidRPr="007346F4" w:rsidRDefault="001B1BB0" w:rsidP="007346F4">
      <w:pPr>
        <w:spacing w:line="360" w:lineRule="auto"/>
        <w:jc w:val="center"/>
      </w:pPr>
      <w:r w:rsidRPr="007346F4">
        <w:t xml:space="preserve">Total de nados vivos </w:t>
      </w:r>
      <w:r w:rsidR="00087C39">
        <w:t>nesse ano</w:t>
      </w:r>
    </w:p>
    <w:p w:rsidR="006131CF" w:rsidRPr="007346F4" w:rsidRDefault="006131CF" w:rsidP="007346F4">
      <w:pPr>
        <w:spacing w:line="360" w:lineRule="auto"/>
      </w:pPr>
    </w:p>
    <w:p w:rsidR="006131CF" w:rsidRPr="007346F4" w:rsidRDefault="006131CF" w:rsidP="007346F4">
      <w:pPr>
        <w:spacing w:line="360" w:lineRule="auto"/>
      </w:pPr>
      <w:r w:rsidRPr="007346F4">
        <w:rPr>
          <w:b/>
        </w:rPr>
        <w:t>Taxa de mortalidade perinatal</w:t>
      </w:r>
    </w:p>
    <w:p w:rsidR="006131CF" w:rsidRPr="007346F4" w:rsidRDefault="006131CF" w:rsidP="007346F4">
      <w:pPr>
        <w:spacing w:line="360" w:lineRule="auto"/>
        <w:jc w:val="center"/>
      </w:pPr>
    </w:p>
    <w:p w:rsidR="006131CF" w:rsidRPr="007346F4" w:rsidRDefault="006131CF" w:rsidP="007346F4">
      <w:pPr>
        <w:spacing w:line="360" w:lineRule="auto"/>
        <w:jc w:val="center"/>
      </w:pPr>
    </w:p>
    <w:p w:rsidR="006131CF" w:rsidRPr="007346F4" w:rsidRDefault="006131CF" w:rsidP="007346F4">
      <w:pPr>
        <w:spacing w:line="360" w:lineRule="auto"/>
        <w:jc w:val="center"/>
      </w:pPr>
      <w:r w:rsidRPr="007346F4">
        <w:t xml:space="preserve">Fetos mortos com 28 ou mais semanas de gestação </w:t>
      </w:r>
    </w:p>
    <w:p w:rsidR="006131CF" w:rsidRPr="007346F4" w:rsidRDefault="006131CF" w:rsidP="007346F4">
      <w:pPr>
        <w:spacing w:line="360" w:lineRule="auto"/>
        <w:jc w:val="center"/>
      </w:pPr>
      <w:r w:rsidRPr="007346F4">
        <w:t>+</w:t>
      </w:r>
    </w:p>
    <w:p w:rsidR="006131CF" w:rsidRPr="007346F4" w:rsidRDefault="006131CF" w:rsidP="007346F4">
      <w:pPr>
        <w:spacing w:line="360" w:lineRule="auto"/>
        <w:jc w:val="center"/>
      </w:pPr>
      <w:r w:rsidRPr="007346F4">
        <w:t>Óbitos de crianças com menos de 7 dias de vida</w:t>
      </w:r>
    </w:p>
    <w:p w:rsidR="006131CF" w:rsidRPr="007346F4" w:rsidRDefault="006131CF" w:rsidP="007346F4">
      <w:pPr>
        <w:spacing w:line="360" w:lineRule="auto"/>
        <w:jc w:val="center"/>
        <w:rPr>
          <w:vertAlign w:val="superscript"/>
        </w:rPr>
      </w:pPr>
      <w:proofErr w:type="gramStart"/>
      <w:r w:rsidRPr="007346F4">
        <w:t>___________________________________________________   x</w:t>
      </w:r>
      <w:proofErr w:type="gramEnd"/>
      <w:r w:rsidRPr="007346F4">
        <w:t xml:space="preserve"> 10</w:t>
      </w:r>
      <w:r w:rsidRPr="007346F4">
        <w:rPr>
          <w:vertAlign w:val="superscript"/>
        </w:rPr>
        <w:t>3</w:t>
      </w:r>
    </w:p>
    <w:p w:rsidR="009F2354" w:rsidRPr="00AB1C7C" w:rsidRDefault="006131CF" w:rsidP="00AB1C7C">
      <w:pPr>
        <w:spacing w:line="360" w:lineRule="auto"/>
        <w:jc w:val="center"/>
      </w:pPr>
      <w:r w:rsidRPr="007346F4">
        <w:t xml:space="preserve">Nados vivos </w:t>
      </w:r>
      <w:r w:rsidR="00087C39">
        <w:t xml:space="preserve">nesse ano </w:t>
      </w:r>
      <w:r w:rsidRPr="007346F4">
        <w:t>+ Fetos mortos com mais de 28 semanas</w:t>
      </w:r>
    </w:p>
    <w:p w:rsidR="009F2354" w:rsidRPr="00511158" w:rsidRDefault="009F2354" w:rsidP="006A2699">
      <w:pPr>
        <w:jc w:val="center"/>
        <w:rPr>
          <w:sz w:val="28"/>
          <w:szCs w:val="28"/>
          <w:vertAlign w:val="superscript"/>
          <w:lang w:val="es-ES"/>
        </w:rPr>
      </w:pPr>
    </w:p>
    <w:p w:rsidR="009F2354" w:rsidRPr="00511158" w:rsidRDefault="009F2354" w:rsidP="006A2699">
      <w:pPr>
        <w:jc w:val="center"/>
        <w:rPr>
          <w:sz w:val="28"/>
          <w:szCs w:val="28"/>
          <w:vertAlign w:val="superscript"/>
          <w:lang w:val="es-ES"/>
        </w:rPr>
      </w:pPr>
    </w:p>
    <w:p w:rsidR="009A7D2D" w:rsidRDefault="009A7D2D" w:rsidP="00020A91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1633C" w:rsidRDefault="00E1633C" w:rsidP="00E1633C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</w:pPr>
    </w:p>
    <w:p w:rsidR="00E1633C" w:rsidRDefault="00E1633C" w:rsidP="00E1633C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 xml:space="preserve">Análise ao ano de </w:t>
      </w:r>
      <w:r w:rsidRPr="009A7D2D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2012</w:t>
      </w:r>
    </w:p>
    <w:p w:rsidR="00E1633C" w:rsidRPr="00C975F2" w:rsidRDefault="00E1633C" w:rsidP="00E1633C">
      <w:pPr>
        <w:spacing w:line="360" w:lineRule="auto"/>
        <w:jc w:val="both"/>
        <w:rPr>
          <w:bCs/>
          <w:color w:val="000000"/>
        </w:rPr>
      </w:pPr>
      <w:r w:rsidRPr="00C975F2">
        <w:rPr>
          <w:bCs/>
          <w:color w:val="000000"/>
        </w:rPr>
        <w:t xml:space="preserve">Portugal. Direcção Geral da Saúde. Direcção de Serviços de Epidemiologia e Estatísticas de Saúde. Divisão de Estatísticas de Saúde </w:t>
      </w:r>
      <w:r>
        <w:rPr>
          <w:bCs/>
          <w:color w:val="000000"/>
        </w:rPr>
        <w:t>(</w:t>
      </w:r>
      <w:r w:rsidRPr="00C975F2">
        <w:rPr>
          <w:bCs/>
          <w:color w:val="000000"/>
        </w:rPr>
        <w:t>2013</w:t>
      </w:r>
      <w:r>
        <w:rPr>
          <w:bCs/>
          <w:color w:val="000000"/>
        </w:rPr>
        <w:t>).</w:t>
      </w:r>
      <w:r w:rsidRPr="00C975F2">
        <w:rPr>
          <w:bCs/>
          <w:color w:val="000000"/>
        </w:rPr>
        <w:t xml:space="preserve"> </w:t>
      </w:r>
      <w:r w:rsidRPr="00C975F2">
        <w:t>Estudo comparativo do número de óbitos e causas de morte da mortalidade infantil e suas componentes (2009-2012)</w:t>
      </w:r>
      <w:r w:rsidRPr="00C975F2">
        <w:rPr>
          <w:bCs/>
          <w:color w:val="000000"/>
        </w:rPr>
        <w:t xml:space="preserve"> – Informação Geral: Saúde. Lisboa</w:t>
      </w:r>
    </w:p>
    <w:p w:rsidR="00E1633C" w:rsidRDefault="00E1633C" w:rsidP="00E1633C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1633C" w:rsidRPr="005E7F44" w:rsidRDefault="00E1633C" w:rsidP="00E1633C">
      <w:pPr>
        <w:spacing w:line="360" w:lineRule="auto"/>
        <w:jc w:val="both"/>
        <w:rPr>
          <w:b/>
          <w:bCs/>
          <w:color w:val="000000"/>
        </w:rPr>
      </w:pPr>
      <w:r w:rsidRPr="005E7F44">
        <w:rPr>
          <w:b/>
          <w:bCs/>
          <w:color w:val="000000"/>
        </w:rPr>
        <w:t>Em resumo: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/>
          <w:bCs/>
          <w:color w:val="000000"/>
        </w:rPr>
        <w:t>Na Mortalidade Infantil</w:t>
      </w:r>
      <w:r w:rsidRPr="003B5CCE">
        <w:rPr>
          <w:bCs/>
          <w:color w:val="000000"/>
        </w:rPr>
        <w:t xml:space="preserve"> – observada em 2012 foi, em termos globais, comparável com os anos anteriores, mostrou-se apenas aumentada relativamente a 2010. Observou-se heterogeneidade regional com aumentos na região Centro e Algarve e decréscimo em Lisboa e algum decréscimo no Alentejo.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/>
          <w:bCs/>
          <w:color w:val="000000"/>
        </w:rPr>
        <w:t>Na Mortalidade Fetal</w:t>
      </w:r>
      <w:r w:rsidRPr="003B5CCE">
        <w:rPr>
          <w:bCs/>
          <w:color w:val="000000"/>
        </w:rPr>
        <w:t xml:space="preserve"> – observou-se um aumento significativo relativamente a 2011 – com alguma relevância nas regiões Centro, Alentejo e Algarve.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/>
          <w:bCs/>
          <w:color w:val="000000"/>
        </w:rPr>
        <w:t>A Mortalidade Fetal Tardia</w:t>
      </w:r>
      <w:r w:rsidRPr="003B5CCE">
        <w:rPr>
          <w:bCs/>
          <w:color w:val="000000"/>
        </w:rPr>
        <w:t xml:space="preserve"> – não mostrou um padrão distinto do observado no global da mortalidade fetal global – apenas o recrudescimento do observado na região Centro não mostrou tanto significado.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/>
          <w:bCs/>
          <w:color w:val="000000"/>
        </w:rPr>
        <w:t>A Mortalidade Pós-Neonatal</w:t>
      </w:r>
      <w:r w:rsidRPr="003B5CCE">
        <w:rPr>
          <w:bCs/>
          <w:color w:val="000000"/>
        </w:rPr>
        <w:t xml:space="preserve"> – Denotou um aumento relativamente a 2011 – com heterogeneidade regional e aumento relevante na região Centro e Algarve.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/>
          <w:bCs/>
          <w:color w:val="000000"/>
        </w:rPr>
        <w:lastRenderedPageBreak/>
        <w:t>Mortalidade Neonatal</w:t>
      </w:r>
      <w:r w:rsidRPr="003B5CCE">
        <w:rPr>
          <w:bCs/>
          <w:color w:val="000000"/>
        </w:rPr>
        <w:t xml:space="preserve"> – mostrou-se em linha com o observado nos anos anteriores </w:t>
      </w:r>
      <w:proofErr w:type="spellStart"/>
      <w:r w:rsidRPr="003B5CCE">
        <w:rPr>
          <w:bCs/>
          <w:color w:val="000000"/>
        </w:rPr>
        <w:t>exceto</w:t>
      </w:r>
      <w:proofErr w:type="spellEnd"/>
      <w:r w:rsidRPr="003B5CCE">
        <w:rPr>
          <w:bCs/>
          <w:color w:val="000000"/>
        </w:rPr>
        <w:t xml:space="preserve"> 2010. Observou-se alguma heterogeneidade regional: na região Norte esta mortalidade teve tendência de decréscimo relativamente aos anos anteriores e Lisboa também alguma tendência sustentada de decréscimo.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rPr>
          <w:bCs/>
          <w:color w:val="000000"/>
        </w:rPr>
        <w:t xml:space="preserve">A análise dos óbitos da mortalidade fetal e </w:t>
      </w:r>
      <w:proofErr w:type="gramStart"/>
      <w:r w:rsidRPr="003B5CCE">
        <w:rPr>
          <w:bCs/>
          <w:color w:val="000000"/>
        </w:rPr>
        <w:t>das componentes neonatal</w:t>
      </w:r>
      <w:proofErr w:type="gramEnd"/>
      <w:r w:rsidRPr="003B5CCE">
        <w:rPr>
          <w:bCs/>
          <w:color w:val="000000"/>
        </w:rPr>
        <w:t xml:space="preserve"> e pós-neonatal da mortalidade infantil, permite afirmar que em termos do global nacional a mortalidade infantil de 2012 esteve estatisticamente em linha com o observado no ano de 2011. Se as diferentes componentes estudadas tivessem sido comparadas mais </w:t>
      </w:r>
      <w:proofErr w:type="spellStart"/>
      <w:r w:rsidRPr="003B5CCE">
        <w:rPr>
          <w:bCs/>
          <w:color w:val="000000"/>
        </w:rPr>
        <w:t>diretamente</w:t>
      </w:r>
      <w:proofErr w:type="spellEnd"/>
      <w:r w:rsidRPr="003B5CCE">
        <w:rPr>
          <w:bCs/>
          <w:color w:val="000000"/>
        </w:rPr>
        <w:t xml:space="preserve"> com 2010 os resultados teriam sido muito idênticos aos do relatório relativo à mortalidade infantil de 2011. Porém, em 2012 </w:t>
      </w:r>
      <w:r w:rsidRPr="003B5CCE">
        <w:rPr>
          <w:b/>
          <w:bCs/>
          <w:color w:val="000000"/>
        </w:rPr>
        <w:t>observaram-se aumentos na mortalidade fetal e na componente pós-neonatal da mortalidade infantil</w:t>
      </w:r>
      <w:r w:rsidRPr="003B5CCE">
        <w:rPr>
          <w:bCs/>
          <w:color w:val="000000"/>
        </w:rPr>
        <w:t>. Observou-se ainda heterogeneidade regional na evolução destas componentes, as regiões Centro e Algarve mostraram-se ambas com estas componentes aumentadas.</w:t>
      </w:r>
    </w:p>
    <w:p w:rsidR="00E1633C" w:rsidRPr="003B5CCE" w:rsidRDefault="00E1633C" w:rsidP="00E1633C">
      <w:pPr>
        <w:spacing w:line="360" w:lineRule="auto"/>
        <w:jc w:val="both"/>
        <w:rPr>
          <w:bCs/>
          <w:color w:val="000000"/>
        </w:rPr>
      </w:pPr>
      <w:r w:rsidRPr="003B5CCE">
        <w:t>Da informação disponível das componentes da mortalidade perinatal e infantil no portal do INE (por residência das mães, NUTS I,II e III) e na inspecção dos certificados de óbito, observou-se: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Semelhança do ocorrido em 2012 e 2009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Aumento relativamente a 2010- particularizado na mortalidade pós-neonatal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Relativamente a 2011, aumento da mortalidade fetal e da mortalidade pós-neonatal</w:t>
      </w:r>
    </w:p>
    <w:p w:rsidR="00E1633C" w:rsidRDefault="00E1633C" w:rsidP="00E1633C">
      <w:pPr>
        <w:spacing w:line="360" w:lineRule="auto"/>
        <w:jc w:val="both"/>
        <w:rPr>
          <w:b/>
        </w:rPr>
      </w:pPr>
    </w:p>
    <w:p w:rsidR="00E1633C" w:rsidRDefault="00E1633C" w:rsidP="00E1633C">
      <w:pPr>
        <w:spacing w:line="360" w:lineRule="auto"/>
        <w:jc w:val="both"/>
        <w:rPr>
          <w:b/>
        </w:rPr>
      </w:pP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Mortalidade Fetal: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Recrudescimento em 2012 em comparação com 2011 (no total do país, no Continente e na RAM); em Portugal Continental observou-se heterogeneidade regional com decréscimo nas regiões Norte e Lisboa e acréscimo nas restantes regiões (Centro, Alentejo e Algarve).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Mortalidade Fetal Tardia: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Não mostrou um padrão distinto do observado na mortalidade fetal (global).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Mortalidade Infantil: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Idêntica ao observado em 2011 e 2009. Apesar disso observou-se heterogeneidade por regiões de saúde com o Centro a revelar acréscimo, o Algarve a seguir a mesma tendência e as restantes regiões a observarem decréscimo.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Mortalidade Neonatal: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lastRenderedPageBreak/>
        <w:t xml:space="preserve">Mostrou-se globalmente em linha com o observado nos anos anteriores, </w:t>
      </w:r>
      <w:proofErr w:type="spellStart"/>
      <w:r w:rsidRPr="003B5CCE">
        <w:t>exceto</w:t>
      </w:r>
      <w:proofErr w:type="spellEnd"/>
      <w:r w:rsidRPr="003B5CCE">
        <w:t xml:space="preserve"> 2010. No entanto, observou-se alguma heterogeneidade entre regiões com o Norte e Lisboa com tendências decrescentes e restantes regiões com tendências crescentes.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Mortalidade Pós-Neonatal: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Denotou um aumento relativamente a 2011 com heterogeneidade regional. Observou-se algum recrudescimento em todas as regiões </w:t>
      </w:r>
      <w:proofErr w:type="spellStart"/>
      <w:r w:rsidRPr="003B5CCE">
        <w:t>exceto</w:t>
      </w:r>
      <w:proofErr w:type="spellEnd"/>
      <w:r w:rsidRPr="003B5CCE">
        <w:t xml:space="preserve"> o Alentejo e aumento significativo no Centro e no Algarve.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Parece assim que em 2012 se verificou um nível idêntico de mortalidade infantil ao do ano de 2011, em que a diferença observada parece dever-se a um aumento da mortalidade pós-neonatal. A componente neonatal mostrou-se semelhante à registada em 2011, como tal também se distingue da de 2010. Adicionalmente, também se verificou um generalizado recrudescimento da mortalidade fetal. Verificou-se ainda alguma heterogeneidade regional na evolução de todas as componentes de mortalidade estudadas.</w:t>
      </w:r>
    </w:p>
    <w:p w:rsidR="00E1633C" w:rsidRPr="003B5CCE" w:rsidRDefault="00E1633C" w:rsidP="00E1633C">
      <w:pPr>
        <w:spacing w:line="360" w:lineRule="auto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0F28AB00" wp14:editId="2634C5AA">
            <wp:extent cx="5610225" cy="2847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3C" w:rsidRPr="003B5CCE" w:rsidRDefault="00E1633C" w:rsidP="00E1633C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18FDA1B" wp14:editId="16AF255D">
            <wp:extent cx="5610225" cy="4276725"/>
            <wp:effectExtent l="0" t="0" r="9525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3C" w:rsidRDefault="00E1633C" w:rsidP="00E1633C">
      <w:pPr>
        <w:spacing w:line="360" w:lineRule="auto"/>
        <w:jc w:val="both"/>
        <w:rPr>
          <w:noProof/>
        </w:rPr>
      </w:pPr>
    </w:p>
    <w:p w:rsidR="00E1633C" w:rsidRDefault="00E1633C" w:rsidP="00E1633C">
      <w:pPr>
        <w:spacing w:line="360" w:lineRule="auto"/>
        <w:jc w:val="both"/>
        <w:rPr>
          <w:noProof/>
        </w:rPr>
      </w:pPr>
    </w:p>
    <w:p w:rsidR="00E1633C" w:rsidRDefault="00E1633C" w:rsidP="00E1633C">
      <w:pPr>
        <w:spacing w:line="360" w:lineRule="auto"/>
        <w:jc w:val="both"/>
        <w:rPr>
          <w:noProof/>
        </w:rPr>
      </w:pPr>
    </w:p>
    <w:p w:rsidR="00E1633C" w:rsidRPr="003B5CCE" w:rsidRDefault="00E1633C" w:rsidP="00E1633C">
      <w:pPr>
        <w:spacing w:line="360" w:lineRule="auto"/>
        <w:jc w:val="both"/>
      </w:pPr>
    </w:p>
    <w:p w:rsidR="00E1633C" w:rsidRPr="003B5CCE" w:rsidRDefault="00E1633C" w:rsidP="00E1633C">
      <w:pPr>
        <w:spacing w:line="360" w:lineRule="auto"/>
        <w:jc w:val="both"/>
      </w:pPr>
      <w:r w:rsidRPr="003B5CCE">
        <w:t>Na análise da informação dos certificados de óbito das mortes neonatais as semelhanças com o observado no ano anterior (2011) e 2009 foi notória. As evoluções com significado estatístico tornaram a ter significados nas comparações com esses anos.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rPr>
          <w:b/>
        </w:rPr>
        <w:t>Na mortalidade neonatal de 2012,</w:t>
      </w:r>
      <w:r w:rsidRPr="003B5CCE">
        <w:t xml:space="preserve"> em comparação com 2011 e 2009, observou-se: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Diminuição da morte devida a acidentes de transporte; Diminuição associada ao sexo masculino; no sexo feminino a diminuição observada não foi significativa;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Tendência sustentada de diminuição do uso de resultados disponíveis da autópsia como fonte de informação na determinação da causa de morte;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Recrudescimento da informação indisponível na informação da causa de morte;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Aumento da morte no domicílio mas sem significado estatístico;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Diminuição substancial, com muito significado estatístico, da mortalidade neonatal no hospital;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Semelhança nos pesos à nascença;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lastRenderedPageBreak/>
        <w:t>Tendência de decréscimo em partos simples;</w:t>
      </w:r>
    </w:p>
    <w:p w:rsidR="00E1633C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Tendência de acréscimo em partos com dois gémeos;</w:t>
      </w:r>
    </w:p>
    <w:p w:rsidR="00E1633C" w:rsidRPr="003B5CCE" w:rsidRDefault="00E1633C" w:rsidP="00E1633C">
      <w:pPr>
        <w:numPr>
          <w:ilvl w:val="0"/>
          <w:numId w:val="5"/>
        </w:numPr>
        <w:spacing w:line="360" w:lineRule="auto"/>
        <w:jc w:val="both"/>
      </w:pPr>
      <w:r w:rsidRPr="003B5CCE">
        <w:t>Diminuição de óbitos em mulheres sem filhos vivos.</w:t>
      </w:r>
    </w:p>
    <w:p w:rsidR="00E1633C" w:rsidRPr="005E7F44" w:rsidRDefault="00E1633C" w:rsidP="00E1633C">
      <w:pPr>
        <w:spacing w:line="360" w:lineRule="auto"/>
        <w:jc w:val="both"/>
        <w:rPr>
          <w:b/>
        </w:rPr>
      </w:pPr>
      <w:r w:rsidRPr="005E7F44">
        <w:rPr>
          <w:b/>
        </w:rPr>
        <w:t>Na mortalidade neonatal de 2012, comparando com 2010, foram observadas mais diferenças, nomeadamente:</w:t>
      </w:r>
    </w:p>
    <w:p w:rsidR="00E1633C" w:rsidRDefault="00E1633C" w:rsidP="00E1633C">
      <w:pPr>
        <w:numPr>
          <w:ilvl w:val="0"/>
          <w:numId w:val="6"/>
        </w:numPr>
        <w:spacing w:line="360" w:lineRule="auto"/>
        <w:jc w:val="both"/>
      </w:pPr>
      <w:r w:rsidRPr="003B5CCE">
        <w:t>Aumento da mortalidade em ambos os sexos com maior significado estatístico para o sexo masculino;</w:t>
      </w:r>
    </w:p>
    <w:p w:rsidR="00E1633C" w:rsidRDefault="00E1633C" w:rsidP="00E1633C">
      <w:pPr>
        <w:numPr>
          <w:ilvl w:val="0"/>
          <w:numId w:val="6"/>
        </w:numPr>
        <w:spacing w:line="360" w:lineRule="auto"/>
        <w:jc w:val="both"/>
      </w:pPr>
      <w:r w:rsidRPr="003B5CCE">
        <w:t>Aumento das causas de morte baseadas em informação clínica e mais resultados disponíveis da autópsia;</w:t>
      </w:r>
    </w:p>
    <w:p w:rsidR="00E1633C" w:rsidRDefault="00E1633C" w:rsidP="00E1633C">
      <w:pPr>
        <w:numPr>
          <w:ilvl w:val="0"/>
          <w:numId w:val="6"/>
        </w:numPr>
        <w:spacing w:line="360" w:lineRule="auto"/>
        <w:jc w:val="both"/>
      </w:pPr>
      <w:r w:rsidRPr="003B5CCE">
        <w:t>Aumento da mortalidade no hospital- com muito significado estatístico;</w:t>
      </w:r>
    </w:p>
    <w:p w:rsidR="00E1633C" w:rsidRPr="003B5CCE" w:rsidRDefault="00E1633C" w:rsidP="00E1633C">
      <w:pPr>
        <w:numPr>
          <w:ilvl w:val="0"/>
          <w:numId w:val="6"/>
        </w:numPr>
        <w:spacing w:line="360" w:lineRule="auto"/>
        <w:jc w:val="both"/>
      </w:pPr>
      <w:r w:rsidRPr="003B5CCE">
        <w:t>Aumento da mortalidade no 2º gémeo – com muito significado estatístico;</w:t>
      </w:r>
    </w:p>
    <w:p w:rsidR="00E1633C" w:rsidRPr="005E7F44" w:rsidRDefault="00E1633C" w:rsidP="00E1633C">
      <w:pPr>
        <w:spacing w:line="360" w:lineRule="auto"/>
        <w:jc w:val="both"/>
        <w:rPr>
          <w:b/>
        </w:rPr>
      </w:pPr>
      <w:r w:rsidRPr="005E7F44">
        <w:rPr>
          <w:b/>
        </w:rPr>
        <w:t>No parto gemelar: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>Aumento da mortalidade no Parto Não Normal (Outro);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>Alguma tendência de aumento da mortalidade no recurso à cesariana (+11 óbitos p=0,06) e com apresentação pélvica (+ 60 óbitos, p=0,058);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>Aumento da mortalidade associada à duração da gravidez, particularmente na classe até às 27 semanas (+ 27 óbitos, p=0,021);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 xml:space="preserve">Aumento da mortalidade em gravidezes com vigilância </w:t>
      </w:r>
      <w:proofErr w:type="spellStart"/>
      <w:r w:rsidRPr="003B5CCE">
        <w:t>antenatal</w:t>
      </w:r>
      <w:proofErr w:type="spellEnd"/>
      <w:r w:rsidRPr="003B5CCE">
        <w:t xml:space="preserve"> (+ 27 óbitos, p=0,08); 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>O aumento de 4 óbitos em gravidezes sem vigilância não revelou significado estatístico;</w:t>
      </w:r>
    </w:p>
    <w:p w:rsidR="00E1633C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 xml:space="preserve">Aumento na mortalidade nas gravidezes com ou sem 1ª consulta de vigilância </w:t>
      </w:r>
      <w:proofErr w:type="spellStart"/>
      <w:r w:rsidRPr="003B5CCE">
        <w:t>antenatal</w:t>
      </w:r>
      <w:proofErr w:type="spellEnd"/>
      <w:r w:rsidRPr="003B5CCE">
        <w:t xml:space="preserve"> antes da 16ª semana (com 1ª consulta antes da 16ª semana: + 27 óbitos, p=0,05; sem 1ª consulta antes da 16ª semana: +8 óbitos, p=0,042);</w:t>
      </w:r>
    </w:p>
    <w:p w:rsidR="00E1633C" w:rsidRPr="003B5CCE" w:rsidRDefault="00E1633C" w:rsidP="00E1633C">
      <w:pPr>
        <w:numPr>
          <w:ilvl w:val="0"/>
          <w:numId w:val="7"/>
        </w:numPr>
        <w:spacing w:line="360" w:lineRule="auto"/>
        <w:jc w:val="both"/>
      </w:pPr>
      <w:r w:rsidRPr="003B5CCE">
        <w:t xml:space="preserve">Diminuição significativo em mulheres primíparas (- 49 óbitos, </w:t>
      </w:r>
      <w:proofErr w:type="gramStart"/>
      <w:r w:rsidRPr="003B5CCE">
        <w:t>p&lt;0</w:t>
      </w:r>
      <w:proofErr w:type="gramEnd"/>
      <w:r w:rsidRPr="003B5CCE">
        <w:t>,001); diminuição em mulheres sem filhos vivos (-27 óbitos, p=0,003).</w:t>
      </w:r>
    </w:p>
    <w:p w:rsidR="00E1633C" w:rsidRPr="005E7F44" w:rsidRDefault="00E1633C" w:rsidP="00E1633C">
      <w:pPr>
        <w:spacing w:line="360" w:lineRule="auto"/>
        <w:jc w:val="both"/>
        <w:rPr>
          <w:b/>
        </w:rPr>
      </w:pPr>
      <w:r w:rsidRPr="005E7F44">
        <w:rPr>
          <w:b/>
        </w:rPr>
        <w:t xml:space="preserve">Na mortalidade Pós-Neonatal em comparação </w:t>
      </w:r>
      <w:proofErr w:type="spellStart"/>
      <w:r w:rsidRPr="005E7F44">
        <w:rPr>
          <w:b/>
        </w:rPr>
        <w:t>direta</w:t>
      </w:r>
      <w:proofErr w:type="spellEnd"/>
      <w:r w:rsidRPr="005E7F44">
        <w:rPr>
          <w:b/>
        </w:rPr>
        <w:t xml:space="preserve"> com 2011, observou-se: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 xml:space="preserve">Aumento </w:t>
      </w:r>
      <w:proofErr w:type="spellStart"/>
      <w:r w:rsidRPr="003B5CCE">
        <w:t>refletido</w:t>
      </w:r>
      <w:proofErr w:type="spellEnd"/>
      <w:r w:rsidRPr="003B5CCE">
        <w:t xml:space="preserve"> em ambos os sexos com maior significado estatístico no caso do sexo masculino (+23 óbitos, p=0,003) do que no sexo feminino (+12 óbitos, p=0,067);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 xml:space="preserve">Alterações na informação que serve de base à indicação da causa de morte (mudança consistente ao longo dos anos analisados; mais informação clínica (+25 óbitos, p=0,005); mais com resultados disponíveis da autópsia (+16 óbitos, </w:t>
      </w:r>
      <w:proofErr w:type="gramStart"/>
      <w:r w:rsidRPr="003B5CCE">
        <w:lastRenderedPageBreak/>
        <w:t>p&lt;0</w:t>
      </w:r>
      <w:proofErr w:type="gramEnd"/>
      <w:r w:rsidRPr="003B5CCE">
        <w:t>,001); menos com resultados não disponíveis da autópsia (-12 óbitos, p&lt;0,001) e tendencialmente mais não preenchidos (+6 óbitos, p=0,056);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Aumento nos partos naturais (+ 30 óbitos, p=0,008);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Este tipo de mortalidade mostrou-se estável nos partos não naturais;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Aumento do falecimento em hospitais da ARSLVT com significado estatístico (+19 óbitos, p=0,0008)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Com pesos à nascença abaixo dos 500 g é muito residual situando-se em torno de uma a duas dezenas por ano;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Com pesos à nascença abaixo das 750 g é muito marginal situando-se em torno dos 0,2% de todos os nascimentos;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Com pesos à nascença entre os 750 e 999g é semelhante à dos nascimentos com menos peso;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A percentagem cumulativa de nascimentos com menos de 1000g é estimada em 0,4%, percentagem que aumentou ligeiramente em 2012;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Com pesos à nascença entre os 1000 e 1499g está ligeiramente abaixo de 1%;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Com pesos à nascença entre os 1500 e 1999g duplica para aproximadamente 1,9%;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A percentagem de nascimento com pesos abaixo de 2000g é aproximadamente de 3,1%, percentagem que aumentou ligeiramente em 2012 para 3,14%;</w:t>
      </w:r>
    </w:p>
    <w:p w:rsidR="00E1633C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 xml:space="preserve">Com pesos à nascença ente 2000 e 2499g, aproximadamente </w:t>
      </w:r>
      <w:proofErr w:type="gramStart"/>
      <w:r w:rsidRPr="003B5CCE">
        <w:t>duplica</w:t>
      </w:r>
      <w:proofErr w:type="gramEnd"/>
      <w:r w:rsidRPr="003B5CCE">
        <w:t xml:space="preserve"> a registada com pesos inferiores, situando-se em cerca de 6%;</w:t>
      </w:r>
    </w:p>
    <w:p w:rsidR="00E1633C" w:rsidRPr="003B5CCE" w:rsidRDefault="00E1633C" w:rsidP="00E1633C">
      <w:pPr>
        <w:numPr>
          <w:ilvl w:val="0"/>
          <w:numId w:val="8"/>
        </w:numPr>
        <w:spacing w:line="360" w:lineRule="auto"/>
        <w:jc w:val="both"/>
      </w:pPr>
      <w:r w:rsidRPr="003B5CCE">
        <w:t>Assim a percentagem de nascimentos com peso abaixo dos 2500g situa-se em torno dos 9% (8,7% em 2009, 9,3% em 2012)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Discussão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Relativamente à análise dos óbitos da mortalidade fetal e das componentes neonatal e pós-neonatal da mortalidade infantil, da própria mortalidade infantil e da mortalidade abaixo dos 5 anos podemos afirmar que, e</w:t>
      </w:r>
      <w:r>
        <w:rPr>
          <w:b/>
        </w:rPr>
        <w:t xml:space="preserve">m termos do global nacional, </w:t>
      </w:r>
      <w:proofErr w:type="gramStart"/>
      <w:r>
        <w:rPr>
          <w:b/>
        </w:rPr>
        <w:t xml:space="preserve">as </w:t>
      </w:r>
      <w:r w:rsidRPr="003B5CCE">
        <w:rPr>
          <w:b/>
        </w:rPr>
        <w:t>mortalidades infantil</w:t>
      </w:r>
      <w:proofErr w:type="gramEnd"/>
      <w:r w:rsidRPr="003B5CCE">
        <w:rPr>
          <w:b/>
        </w:rPr>
        <w:t xml:space="preserve"> e abaixo dos 5 anos de 2012 esteve estatisticamente em linha com o observado no ano de 2011. Se as diferentes componentes estudadas tivessem sido comparadas mais </w:t>
      </w:r>
      <w:proofErr w:type="spellStart"/>
      <w:r w:rsidRPr="003B5CCE">
        <w:rPr>
          <w:b/>
        </w:rPr>
        <w:t>diretamente</w:t>
      </w:r>
      <w:proofErr w:type="spellEnd"/>
      <w:r w:rsidRPr="003B5CCE">
        <w:rPr>
          <w:b/>
        </w:rPr>
        <w:t xml:space="preserve"> com 2010 os resultados teriam sido muito idênticos aos do relatório relativo à mortalidade infantil de 2011. Porém, em 2012 observaram-se aumentos na mortalidade fetal e na componente pós-neonatal da mortalidade infantil. Observou-se heterogeneidade regional na evolução destas componentes. As regiões Centro e Algarve mostraram-se ambas com estas componentes aumentadas.</w:t>
      </w:r>
    </w:p>
    <w:p w:rsidR="00E1633C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lastRenderedPageBreak/>
        <w:t>Mortalidade Fetal - ocorreu um aumento em 2012 em comparação a 2011, tanto ao nível do total do país, em Portugal Continental e na Região Autónoma da Madeira.</w:t>
      </w:r>
    </w:p>
    <w:p w:rsidR="00E1633C" w:rsidRDefault="00E1633C" w:rsidP="00E1633C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5E7F44">
        <w:rPr>
          <w:b/>
        </w:rPr>
        <w:t>Verificou-se que esta mortalidade por letra ficou essencialmente associada a 2 letras:</w:t>
      </w:r>
    </w:p>
    <w:p w:rsidR="00E1633C" w:rsidRDefault="00E1633C" w:rsidP="00E1633C">
      <w:pPr>
        <w:numPr>
          <w:ilvl w:val="1"/>
          <w:numId w:val="9"/>
        </w:numPr>
        <w:spacing w:line="360" w:lineRule="auto"/>
        <w:jc w:val="both"/>
        <w:rPr>
          <w:b/>
        </w:rPr>
      </w:pPr>
      <w:r w:rsidRPr="005E7F44">
        <w:rPr>
          <w:b/>
        </w:rPr>
        <w:t xml:space="preserve">Letra P e letra Q, com um recrudescimento em ambas as letras, </w:t>
      </w:r>
      <w:proofErr w:type="spellStart"/>
      <w:r w:rsidRPr="005E7F44">
        <w:rPr>
          <w:b/>
        </w:rPr>
        <w:t>refletindo</w:t>
      </w:r>
      <w:proofErr w:type="spellEnd"/>
      <w:r w:rsidRPr="005E7F44">
        <w:rPr>
          <w:b/>
        </w:rPr>
        <w:t xml:space="preserve"> o aumento global. Quando consideradas as causas a 3 </w:t>
      </w:r>
      <w:proofErr w:type="spellStart"/>
      <w:r w:rsidRPr="005E7F44">
        <w:rPr>
          <w:b/>
        </w:rPr>
        <w:t>carateres</w:t>
      </w:r>
      <w:proofErr w:type="spellEnd"/>
      <w:r w:rsidRPr="005E7F44">
        <w:rPr>
          <w:b/>
        </w:rPr>
        <w:t xml:space="preserve">, comparando 2012 com 2011, verificou-se um recrudescimento da causa P03, uma tendência de aumento da causa Q79 e da causa Q04. Na comparação com 2009 não pareceu existir diferenças relevantes. Enquanto resultados a salientar, verificou-se que 90% dos óbitos ocorridos se verificaram em três grupos de causas de morte, nomeadamente P00-P04, P20-P29 e P90-P96 (1º, 2º e 3º com mais registos, </w:t>
      </w:r>
      <w:proofErr w:type="spellStart"/>
      <w:r w:rsidRPr="005E7F44">
        <w:rPr>
          <w:b/>
        </w:rPr>
        <w:t>respetivamente</w:t>
      </w:r>
      <w:proofErr w:type="spellEnd"/>
      <w:r w:rsidRPr="005E7F44">
        <w:rPr>
          <w:b/>
        </w:rPr>
        <w:t>).</w:t>
      </w:r>
    </w:p>
    <w:p w:rsidR="00E1633C" w:rsidRPr="008A72A4" w:rsidRDefault="00E1633C" w:rsidP="00E1633C">
      <w:pPr>
        <w:spacing w:line="360" w:lineRule="auto"/>
        <w:jc w:val="both"/>
        <w:rPr>
          <w:b/>
        </w:rPr>
      </w:pPr>
      <w:r w:rsidRPr="008A72A4">
        <w:rPr>
          <w:b/>
        </w:rPr>
        <w:t>Mortalidade Fetal Tardia</w:t>
      </w:r>
      <w:r w:rsidRPr="003B5CCE">
        <w:t xml:space="preserve"> - os resultados mostraram não ter existido um padrão distinto comparativamente com a mortalidade fetal global.</w:t>
      </w:r>
    </w:p>
    <w:p w:rsidR="00E1633C" w:rsidRDefault="00E1633C" w:rsidP="00E1633C">
      <w:pPr>
        <w:numPr>
          <w:ilvl w:val="0"/>
          <w:numId w:val="9"/>
        </w:numPr>
        <w:spacing w:line="360" w:lineRule="auto"/>
        <w:jc w:val="both"/>
      </w:pPr>
      <w:r w:rsidRPr="008A72A4">
        <w:rPr>
          <w:b/>
        </w:rPr>
        <w:t>Mortalidades Infantil</w:t>
      </w:r>
      <w:r w:rsidRPr="003B5CCE">
        <w:t xml:space="preserve"> - verificaram-se resultados idênticos em 2012 aos ocorridos em 2011 e 2009. Foi ainda observado ter existido uma heterogeneidade por regiões de saúde, com a Região Centro e o Algarve a registarem um acréscimo nesta mortalidade, e as restantes regiõ</w:t>
      </w:r>
      <w:r>
        <w:t>es a apresentarem um decréscimo.</w:t>
      </w:r>
    </w:p>
    <w:p w:rsidR="00E1633C" w:rsidRPr="003B5CCE" w:rsidRDefault="00E1633C" w:rsidP="00E1633C">
      <w:pPr>
        <w:numPr>
          <w:ilvl w:val="0"/>
          <w:numId w:val="9"/>
        </w:numPr>
        <w:spacing w:line="360" w:lineRule="auto"/>
        <w:jc w:val="both"/>
      </w:pPr>
      <w:r w:rsidRPr="008A72A4">
        <w:rPr>
          <w:b/>
        </w:rPr>
        <w:t>Mortalidade Neonatal</w:t>
      </w:r>
      <w:r w:rsidRPr="003B5CCE">
        <w:t xml:space="preserve"> - esta mostrou-se em linha com o observado nos anos anteriores, </w:t>
      </w:r>
      <w:proofErr w:type="spellStart"/>
      <w:r w:rsidRPr="003B5CCE">
        <w:t>exceto</w:t>
      </w:r>
      <w:proofErr w:type="spellEnd"/>
      <w:r w:rsidRPr="003B5CCE">
        <w:t xml:space="preserve"> na comparação com o ano de 2010. Foi ainda observada uma heterogeneidade entre regiões, com o Norte e Lisboa a registarem tendências decrescentes e as restantes regiões com tendências crescentes de mortalidade neonatal (Centro +6, Alentejo +3, Algarve +1).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t>Causas básicas de morte</w:t>
      </w:r>
      <w:r w:rsidRPr="003B5CCE">
        <w:t xml:space="preserve"> - emergiram três conjuntos de categorias de três </w:t>
      </w:r>
      <w:proofErr w:type="spellStart"/>
      <w:r w:rsidRPr="003B5CCE">
        <w:t>carateres</w:t>
      </w:r>
      <w:proofErr w:type="spellEnd"/>
      <w:r w:rsidRPr="003B5CCE">
        <w:t xml:space="preserve"> que apresentaram variações com significado estatístico ao longo dos 4 anos em análise, mais especificamente as P00-P04, P20-P29 e P30-P35. Contudo, foram observadas alterações, estatisticamente significativas, no número de óbitos neonatais nas causas de morte com os códigos: P01 “F</w:t>
      </w:r>
      <w:r w:rsidRPr="008A72A4">
        <w:rPr>
          <w:b/>
        </w:rPr>
        <w:t xml:space="preserve">eto e recém-nascido </w:t>
      </w:r>
      <w:proofErr w:type="spellStart"/>
      <w:r w:rsidRPr="008A72A4">
        <w:rPr>
          <w:b/>
        </w:rPr>
        <w:t>afetados</w:t>
      </w:r>
      <w:proofErr w:type="spellEnd"/>
      <w:r w:rsidRPr="008A72A4">
        <w:rPr>
          <w:b/>
        </w:rPr>
        <w:t xml:space="preserve"> por complicações</w:t>
      </w:r>
      <w:r w:rsidRPr="003B5CCE">
        <w:t>” (p=0,041), P22 “</w:t>
      </w:r>
      <w:r w:rsidRPr="008A72A4">
        <w:rPr>
          <w:b/>
        </w:rPr>
        <w:t>Desconforto (angústia) respiratório(a) do recém</w:t>
      </w:r>
      <w:r w:rsidRPr="003B5CCE">
        <w:t>” (p=0,047), P26 “</w:t>
      </w:r>
      <w:r w:rsidRPr="008A72A4">
        <w:rPr>
          <w:b/>
        </w:rPr>
        <w:t>Hemorragia pulmonar originada no período perinatal</w:t>
      </w:r>
      <w:r w:rsidRPr="003B5CCE">
        <w:t>” (p=0,043), P36 “</w:t>
      </w:r>
      <w:r w:rsidRPr="008A72A4">
        <w:rPr>
          <w:b/>
        </w:rPr>
        <w:t>Septicemia bacteriana do recém-nascido</w:t>
      </w:r>
      <w:r w:rsidRPr="003B5CCE">
        <w:t>”, P61 “</w:t>
      </w:r>
      <w:r w:rsidRPr="008A72A4">
        <w:rPr>
          <w:b/>
        </w:rPr>
        <w:t>Outros transtornos hematológicos perinatais</w:t>
      </w:r>
      <w:r w:rsidRPr="003B5CCE">
        <w:t xml:space="preserve">” (p=0,015). Em detalhe, verificou-se ter existido no ano de 2012 um </w:t>
      </w:r>
      <w:r w:rsidRPr="003B5CCE">
        <w:lastRenderedPageBreak/>
        <w:t xml:space="preserve">aumento do número de causas de morte nas categorias P61, P36 e P01, comparativamente com o ano de 2010 (+5, +10 e +5 óbitos, </w:t>
      </w:r>
      <w:proofErr w:type="spellStart"/>
      <w:r w:rsidRPr="003B5CCE">
        <w:t>respetivamente</w:t>
      </w:r>
      <w:proofErr w:type="spellEnd"/>
      <w:r w:rsidRPr="003B5CCE">
        <w:t>).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t>Mortalidade pós-neonatal</w:t>
      </w:r>
      <w:r w:rsidRPr="003B5CCE">
        <w:t xml:space="preserve"> - verificou-se um aumento relativamente a 2011, com heterogeneidade regional. Esta apresentou um recrudescimento em todas as regiões, </w:t>
      </w:r>
      <w:proofErr w:type="spellStart"/>
      <w:r w:rsidRPr="003B5CCE">
        <w:t>exceto</w:t>
      </w:r>
      <w:proofErr w:type="spellEnd"/>
      <w:r w:rsidRPr="003B5CCE">
        <w:t xml:space="preserve"> o Alentejo (-1), e um aumento significativo no Centro (+6) e Algarve (+7).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Nas Causas básicas de morte, nas categorias por letra, existiu uma redução sustentada por </w:t>
      </w:r>
      <w:r w:rsidRPr="008A72A4">
        <w:rPr>
          <w:b/>
        </w:rPr>
        <w:t>doenças do aparelho respiratório</w:t>
      </w:r>
      <w:r w:rsidRPr="003B5CCE">
        <w:t xml:space="preserve"> – letra J; assistiu-se a um recrudescimento das causas inseridas na letra T (+4), e a um recrudescimento e aumento da letra P (+19). Verificou-se ainda ter existido um recrudescimento muito significativo das causas com letra G (+8; em relação a 2010 +0). Observando os resultados por causas com três </w:t>
      </w:r>
      <w:proofErr w:type="spellStart"/>
      <w:r w:rsidRPr="003B5CCE">
        <w:t>carateres</w:t>
      </w:r>
      <w:proofErr w:type="spellEnd"/>
      <w:r w:rsidRPr="003B5CCE">
        <w:t>, verificou-se um recrudescimento e aumento da causa Q24 (+10 – “</w:t>
      </w:r>
      <w:r w:rsidRPr="008A72A4">
        <w:rPr>
          <w:b/>
        </w:rPr>
        <w:t>Outras malformações congénitas do coração</w:t>
      </w:r>
      <w:r w:rsidRPr="003B5CCE">
        <w:t>”), aumento sustentado da causa P77; recrudescimento da causa Q87 (+2 - “</w:t>
      </w:r>
      <w:r w:rsidRPr="008A72A4">
        <w:rPr>
          <w:b/>
        </w:rPr>
        <w:t>Outras síndromes com malformações congénitas que acometem múltiplos sistemas”), e um recrudescimento da causa</w:t>
      </w:r>
      <w:r w:rsidRPr="003B5CCE">
        <w:t xml:space="preserve"> R99.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t>Autópsias</w:t>
      </w:r>
      <w:r w:rsidRPr="003B5CCE">
        <w:t xml:space="preserve"> - tendência consistente de decréscimo nos 4 anos em análise, dos resultados disponíveis de autópsia como base de indicação da causa de morte.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Pesos - na avaliação da informação dos certificados de óbito, emergiram evoluções, no número de óbitos, com significado em três categorias: abaixo de 500 g (+2), entre 1500-1999 g (-9) e 2500 g ou mais (+24).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t>Na informação hospitalar</w:t>
      </w:r>
      <w:r w:rsidRPr="003B5CCE">
        <w:t xml:space="preserve"> (GDH), verificou-se que em Portugal Continental, só ocorreram diferenças significativas nas comparações com 2010, nomeadamente nos escalões dos nascimentos com pesos à nascença entre os 750 e os 999 g, na classe de peso indefinido, e no Total. Verificou-se ainda ter existido em Portugal Continental uma diminuição sustentada em todas as classes de peso 1000-1499 g (+21); 1500-1999g (+42) (</w:t>
      </w:r>
      <w:proofErr w:type="spellStart"/>
      <w:r w:rsidRPr="003B5CCE">
        <w:t>exceto</w:t>
      </w:r>
      <w:proofErr w:type="spellEnd"/>
      <w:r w:rsidRPr="003B5CCE">
        <w:t xml:space="preserve"> nos pesos indefinidos), mas sem significado estatístico quando comparado com 2011; resultado idêntico foi observado relativamente a 2009, onde a diminuição em número absoluto foi menos regular entre as classes de peso.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t>Local de falecimento</w:t>
      </w:r>
      <w:r w:rsidRPr="003B5CCE">
        <w:t xml:space="preserve"> - ocorreu menos morte fetal no hospital e mais no domicílio (+80). Foi ainda observado que o número de óbitos fetais em partos no domicílio permaneceu estabilizado 14 nos dois anos (nº de partos no domicílio: 647 em 2012 [INE])</w:t>
      </w:r>
    </w:p>
    <w:p w:rsidR="00E1633C" w:rsidRDefault="00E1633C" w:rsidP="00E1633C">
      <w:pPr>
        <w:spacing w:line="360" w:lineRule="auto"/>
        <w:jc w:val="both"/>
      </w:pPr>
      <w:r w:rsidRPr="008A72A4">
        <w:rPr>
          <w:b/>
        </w:rPr>
        <w:lastRenderedPageBreak/>
        <w:t>Idade da Mãe</w:t>
      </w:r>
      <w:r w:rsidRPr="003B5CCE">
        <w:t xml:space="preserve"> - verificou-se um recrudescimento com algum significado estatístico em mães com idades entre os 30 e os 34 anos, e uma tendência de aumento nas mães com 40 ou mais anos de idade.</w:t>
      </w:r>
    </w:p>
    <w:p w:rsidR="00E1633C" w:rsidRDefault="00E1633C" w:rsidP="00E1633C">
      <w:pPr>
        <w:spacing w:line="360" w:lineRule="auto"/>
        <w:jc w:val="both"/>
        <w:rPr>
          <w:b/>
        </w:rPr>
      </w:pPr>
    </w:p>
    <w:p w:rsidR="00E1633C" w:rsidRDefault="00E1633C" w:rsidP="00E1633C">
      <w:pPr>
        <w:spacing w:line="360" w:lineRule="auto"/>
        <w:jc w:val="both"/>
        <w:rPr>
          <w:b/>
        </w:rPr>
      </w:pPr>
      <w:r w:rsidRPr="003B5CCE">
        <w:rPr>
          <w:b/>
        </w:rPr>
        <w:t>CONCLUSÕES</w:t>
      </w:r>
    </w:p>
    <w:p w:rsidR="00E1633C" w:rsidRPr="003B5CCE" w:rsidRDefault="00E1633C" w:rsidP="00E1633C">
      <w:pPr>
        <w:spacing w:line="360" w:lineRule="auto"/>
        <w:jc w:val="both"/>
        <w:rPr>
          <w:b/>
        </w:rPr>
      </w:pP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O principal </w:t>
      </w:r>
      <w:proofErr w:type="spellStart"/>
      <w:r w:rsidRPr="003B5CCE">
        <w:t>objetivo</w:t>
      </w:r>
      <w:proofErr w:type="spellEnd"/>
      <w:r w:rsidRPr="003B5CCE">
        <w:t xml:space="preserve"> deste trabalho foi estudar e perceber, o melhor possível, o aumento da taxa de mortalidade infantil observado em 2012. Foi usada a informação possível e claramente não foi esgotado ainda todo o potencial informativo.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Como feito no passado</w:t>
      </w:r>
      <w:proofErr w:type="gramStart"/>
      <w:r w:rsidRPr="003B5CCE">
        <w:t>,</w:t>
      </w:r>
      <w:proofErr w:type="gramEnd"/>
      <w:r w:rsidRPr="003B5CCE">
        <w:t xml:space="preserve"> procurou-se expor factualmente os resultados observados sem qualquer pretensão de conseguir dar explicações definitivas.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Aparentemente verifica-se que o enquadramento em estudo (reduzido número de óbitos e nascimentos, avanços tecnológicos crescentes e extensas listas de causas de morte) é mais complexo e desafiante que o desejável.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Em 2012 houve aumento da taxa de mortalidade sem que tenha existido uma diferença global (com qualquer significado estatístico) na </w:t>
      </w:r>
      <w:proofErr w:type="spellStart"/>
      <w:r w:rsidRPr="003B5CCE">
        <w:t>respetiva</w:t>
      </w:r>
      <w:proofErr w:type="spellEnd"/>
      <w:r w:rsidRPr="003B5CCE">
        <w:t xml:space="preserve"> mortalidade infantil em comparação com o observado no ano anterior ou para 2009. O mesmo ocorreu na mortalidade abaixo dos 5 anos onde não se observou diferença estatística entre o número de óbitos observado em 2012 e 2011.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Em 2012 a mortalidade neonatal também esteve aumentada quando comparada com a de 2010. No entanto não diferiu da observada em 2011 e 2009.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Em 2012 verificou-se recrudescimento da Mortalidade Fetal e da mortalidade Pós-Neonatal, ambas mostrando heterogeneidades regionais relevantes.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O fenómeno particularmente favorável observado na Mortalidade Infantil de 2010 mostra-se mais </w:t>
      </w:r>
      <w:proofErr w:type="spellStart"/>
      <w:r w:rsidRPr="003B5CCE">
        <w:t>excecional</w:t>
      </w:r>
      <w:proofErr w:type="spellEnd"/>
      <w:r w:rsidRPr="003B5CCE">
        <w:t xml:space="preserve"> por diferir do que se observou antes e depois.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 informação disponível dos nascimentos em hospitais públicos observou-se que em 2012 </w:t>
      </w:r>
      <w:r w:rsidRPr="008A72A4">
        <w:rPr>
          <w:b/>
        </w:rPr>
        <w:t>continuam a aumentar os nascimentos de baixo peso</w:t>
      </w:r>
      <w:r w:rsidRPr="003B5CCE">
        <w:t xml:space="preserve"> apesar da diminuição substancial do número de nascimentos.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Tal como apontado anteriormente, a natureza </w:t>
      </w:r>
      <w:proofErr w:type="spellStart"/>
      <w:r w:rsidRPr="008A72A4">
        <w:rPr>
          <w:b/>
        </w:rPr>
        <w:t>multifatorial</w:t>
      </w:r>
      <w:proofErr w:type="spellEnd"/>
      <w:r w:rsidRPr="003B5CCE">
        <w:t xml:space="preserve"> da mortalidade infantil é uma evidência confirmada (e aqui fica uma vez mais uma demonstração desse facto) mas revela-se agora também particularmente complexa. Os pequenos números têm impactos cada vez maiores e mais imprevisíveis, demandando redobrada atenção de todo o sistema de saúde para este fenómeno.</w:t>
      </w:r>
    </w:p>
    <w:p w:rsidR="00E1633C" w:rsidRPr="003B5CCE" w:rsidRDefault="00E1633C" w:rsidP="00E1633C">
      <w:pPr>
        <w:spacing w:line="360" w:lineRule="auto"/>
        <w:jc w:val="both"/>
      </w:pPr>
      <w:r w:rsidRPr="008A72A4">
        <w:rPr>
          <w:b/>
        </w:rPr>
        <w:lastRenderedPageBreak/>
        <w:t>A mortalidade infantil no período de 2009 - 2012</w:t>
      </w:r>
      <w:r w:rsidRPr="003B5CCE">
        <w:t xml:space="preserve"> resumiu-se a um conjunto de 7 letras </w:t>
      </w:r>
      <w:proofErr w:type="gramStart"/>
      <w:r w:rsidRPr="003B5CCE">
        <w:t>da CID</w:t>
      </w:r>
      <w:proofErr w:type="gramEnd"/>
      <w:r w:rsidRPr="003B5CCE">
        <w:t xml:space="preserve"> 10 e um conjunto de 3 óbitos cuja causa básica não foi definida (em 2012).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Por letra, as diferenças observadas em 2012 em comparação com o ocorrido na mortalidade infantil de 2009 são praticamente inexistentes; resumindo-se à letra J - “</w:t>
      </w:r>
      <w:r w:rsidRPr="008A72A4">
        <w:rPr>
          <w:b/>
        </w:rPr>
        <w:t>Doenças do Aparelho Respiratório</w:t>
      </w:r>
      <w:r w:rsidRPr="003B5CCE">
        <w:t xml:space="preserve">” que não registou qualquer óbito em 2012; na comparação com o ano de 2011, apenas duas letras de causas mostraram diferenças significativas, a letra J - “Doenças do Aparelho Respiratório” (-6 óbitos, p=0,019) e a letra Q – “Doenças do Sistema Nervoso” (+8 óbitos, p=0,021) representando um recrudescimento para os níveis de 2009 e 2010; na comparação com o observado no ano de 2010, três letras mostraram significado estatístico, todas com aumentos, a letra P – “Algumas </w:t>
      </w:r>
      <w:proofErr w:type="spellStart"/>
      <w:r w:rsidRPr="003B5CCE">
        <w:t>afeções</w:t>
      </w:r>
      <w:proofErr w:type="spellEnd"/>
      <w:r w:rsidRPr="003B5CCE">
        <w:t xml:space="preserve"> originadas no período perinatal” (+25 óbitos, p=0,008), a letra T “Lesões, envenenamentos e algumas outras consequências de causas externas” (+5 óbitos, p=0,025) que não teve qualquer registo em 2010, e a letra Q – “Malformações congénitas, deformidades e anomalias cromossómicas” (+ 17 óbitos, p=0,016) que evoluiu positivamente relativamente a 2011.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A análise das causas básicas de morte a 3 </w:t>
      </w:r>
      <w:proofErr w:type="spellStart"/>
      <w:r w:rsidRPr="003B5CCE">
        <w:t>carateres</w:t>
      </w:r>
      <w:proofErr w:type="spellEnd"/>
      <w:proofErr w:type="gramStart"/>
      <w:r w:rsidRPr="003B5CCE">
        <w:t>,</w:t>
      </w:r>
      <w:proofErr w:type="gramEnd"/>
      <w:r w:rsidRPr="003B5CCE">
        <w:t xml:space="preserve"> mostrou tendência idêntica à da análise por letra. Nomeadamente, maior número de causas com diferenças estatisticamente significativas na comparação de 2012 com 2010; e reduzido número nas comparações com 2011 ou 2009.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 comparação das causas básicas a 3 </w:t>
      </w:r>
      <w:proofErr w:type="spellStart"/>
      <w:r w:rsidRPr="003B5CCE">
        <w:t>carateres</w:t>
      </w:r>
      <w:proofErr w:type="spellEnd"/>
      <w:r w:rsidRPr="003B5CCE">
        <w:t xml:space="preserve"> da mortalidade infantil de 2012 com 2011, duas causas mostraram diferenças significativas: P29 – “Transtornos cardiovasculares originados no período perinatal” (-10 óbitos, p=0,016) e P61 – “Outros transtornos hematológicos perinatais” (+7 óbitos, p=0,006) sendo de referir que esta foi uma causa muito residual nos restantes anos.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 comparação do ocorrido em 2012 e em 2009, também emergiram duas causas Q90 – “Síndrome de </w:t>
      </w:r>
      <w:proofErr w:type="spellStart"/>
      <w:r w:rsidRPr="003B5CCE">
        <w:t>Down</w:t>
      </w:r>
      <w:proofErr w:type="spellEnd"/>
      <w:r w:rsidRPr="003B5CCE">
        <w:t>” (-6 óbitos, p=0,021) – causa que nesta mortalidade só surgiu uma vez em três anos – e a P29 (-13 óbitos, p=0,004).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 comparação do ocorrido em 2012 e em 2010, 5 causas surgiram com significado estatístico: novamente P29, reforçando algum decréscimo sustentado (-10 óbitos, p=0,019); P61 – “Outros transtornos hematológicos perinatais” (+6 óbitos, p=0,024); P01 – “Feto e recém-nascido </w:t>
      </w:r>
      <w:proofErr w:type="spellStart"/>
      <w:r w:rsidRPr="003B5CCE">
        <w:t>afetados</w:t>
      </w:r>
      <w:proofErr w:type="spellEnd"/>
      <w:r w:rsidRPr="003B5CCE">
        <w:t xml:space="preserve"> por complicações maternas da gravidez” (+5 óbitos, p=0,023); P36 – “Septicemia bacteriana do recém-nascido” (+9 óbitos, p=0,038) – note-se que o ano 2010 foi diferente dos anos adjacentes; e Q25 – “Malformações </w:t>
      </w:r>
      <w:r w:rsidRPr="003B5CCE">
        <w:lastRenderedPageBreak/>
        <w:t>congénitas das grandes artérias” (+4 óbitos, p=0,029) – que não tinha registado qualquer óbito em 2010.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A análise da evolução das causas básicas de óbito relativas à Mortalidade Infantil por categorias de 3 </w:t>
      </w:r>
      <w:proofErr w:type="spellStart"/>
      <w:r w:rsidRPr="003B5CCE">
        <w:t>carateres</w:t>
      </w:r>
      <w:proofErr w:type="spellEnd"/>
      <w:r w:rsidRPr="003B5CCE">
        <w:t xml:space="preserve"> revelou: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Que esta mortalidade se dispersa por um grande número de categorias, nomeadamente, aquelas com maior peso foram: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1) P20-P29 “Transtornos respiratórios e cardiovasculares específicos do período perinatal” com um peso de 14,7% em 2012, que foi 25,3% em 2009; esta tendência decrescente é revelada pela heterogeneidade nos 4 anos (2009 – 2012) com </w:t>
      </w:r>
      <w:proofErr w:type="gramStart"/>
      <w:r w:rsidRPr="003B5CCE">
        <w:t>p&lt;0</w:t>
      </w:r>
      <w:proofErr w:type="gramEnd"/>
      <w:r w:rsidRPr="003B5CCE">
        <w:t>,001 e apresenta diferenças significativas na comparação de 2012 com 2009 (-47 óbitos, p&lt;0,001);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2) Q20 – Q28 – “Malformações congénitas do aparelho circulatório” com um peso de 10,1% em 2012 e cuja oscilação observada nos quatro anos estudados não apresenta significado estatístico;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3) P50 - P61 – “Transtornos hemorrágicos e hematológicos do feto e do recém-nascido” com um peso de 9,2% mas também sem que a variação observada apresente significado estatístico.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Globalmente, a análise das causas básicas, revela que a mortalidade infantil de 2012 não diferiu estatisticamente da do ano de 2011 (+3 óbitos, p=0,157), nem da do ano de 2009 apesar da diferença em número absoluto (-57 óbitos, p=0,199), mas diferiu da do ano de 2010 (+47 óbitos, </w:t>
      </w:r>
      <w:proofErr w:type="gramStart"/>
      <w:r w:rsidRPr="003B5CCE">
        <w:t>p&lt;0</w:t>
      </w:r>
      <w:proofErr w:type="gramEnd"/>
      <w:r w:rsidRPr="003B5CCE">
        <w:t>,001).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Na distribuição percentual em cada ano das causas básicas de morte neonatais por categorias de três </w:t>
      </w:r>
      <w:proofErr w:type="spellStart"/>
      <w:r w:rsidRPr="003B5CCE">
        <w:t>carateres</w:t>
      </w:r>
      <w:proofErr w:type="spellEnd"/>
      <w:r w:rsidRPr="003B5CCE">
        <w:t xml:space="preserve"> verificou-se o seguinte: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P00-P04 “Feto e recém-nascidos </w:t>
      </w:r>
      <w:proofErr w:type="spellStart"/>
      <w:r w:rsidRPr="003B5CCE">
        <w:t>afetados</w:t>
      </w:r>
      <w:proofErr w:type="spellEnd"/>
      <w:r w:rsidRPr="003B5CCE">
        <w:t xml:space="preserve"> por </w:t>
      </w:r>
      <w:proofErr w:type="spellStart"/>
      <w:r w:rsidRPr="003B5CCE">
        <w:t>fatores</w:t>
      </w:r>
      <w:proofErr w:type="spellEnd"/>
      <w:r w:rsidRPr="003B5CCE">
        <w:t xml:space="preserve"> maternos e por complicações da gravidez, do trabalho de parto e do parto” – </w:t>
      </w:r>
      <w:proofErr w:type="gramStart"/>
      <w:r w:rsidRPr="003B5CCE">
        <w:t>aumentou</w:t>
      </w:r>
      <w:proofErr w:type="gramEnd"/>
      <w:r w:rsidRPr="003B5CCE">
        <w:t xml:space="preserve"> substancialmente – quase duplicando- em 2012;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P05-P08 “Transtornos relacionados com a duração da gestação e com o crescimento fetal” – decresceu ligeiramente comparado com todos os anos anteriores em estudo;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P20-P29 “Transtornos respiratórios e cardiovasculares específicos do período perinatal” – decresceu acentuada e sustentadamente relativamente ao observado nos anos anteriores;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P35-P35 “</w:t>
      </w:r>
      <w:proofErr w:type="spellStart"/>
      <w:r w:rsidRPr="003B5CCE">
        <w:t>Infeções</w:t>
      </w:r>
      <w:proofErr w:type="spellEnd"/>
      <w:r w:rsidRPr="003B5CCE">
        <w:t xml:space="preserve"> específicas do período perinatal” – denotou um ligeiro aumento percentual;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lastRenderedPageBreak/>
        <w:t>No global, as categorias de causas básicas de morte neonatal mantém-se com níveis idênticos em termos percentuais existindo conjunto que são mais comuns ao longo de todos os anos. Denotaram-se algumas oscilações dignas de nota, como o caso da P00-P04, e muitas em causas com números absolutos muito baixos.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Em termos de significado estatístico apenas três conjuntos emergiram denotando diferenças: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P00-P04 “Feto e recém-nascido </w:t>
      </w:r>
      <w:proofErr w:type="spellStart"/>
      <w:r w:rsidRPr="003B5CCE">
        <w:t>afetados</w:t>
      </w:r>
      <w:proofErr w:type="spellEnd"/>
      <w:r w:rsidRPr="003B5CCE">
        <w:t xml:space="preserve"> por </w:t>
      </w:r>
      <w:proofErr w:type="spellStart"/>
      <w:r w:rsidRPr="003B5CCE">
        <w:t>fatores</w:t>
      </w:r>
      <w:proofErr w:type="spellEnd"/>
      <w:r w:rsidRPr="003B5CCE">
        <w:t xml:space="preserve"> maternos e por complicações da gravidez, do trabalho de parto e do parto” – </w:t>
      </w:r>
      <w:proofErr w:type="gramStart"/>
      <w:r w:rsidRPr="003B5CCE">
        <w:t>aumentou</w:t>
      </w:r>
      <w:proofErr w:type="gramEnd"/>
      <w:r w:rsidRPr="003B5CCE">
        <w:t xml:space="preserve"> relativamente a 2011 (6 óbitos, p=0,148) e relativamente a 2010 (11 óbitos, p=0,018);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P20-P29 “Transtornos respiratórios e cardiovasculares específicos do período perinatal” – revelou uma grande heterogeneidade ao longo dos quatro anos (</w:t>
      </w:r>
      <w:proofErr w:type="gramStart"/>
      <w:r w:rsidRPr="003B5CCE">
        <w:t>p&lt;0</w:t>
      </w:r>
      <w:proofErr w:type="gramEnd"/>
      <w:r w:rsidRPr="003B5CCE">
        <w:t xml:space="preserve">,001) o que </w:t>
      </w:r>
      <w:proofErr w:type="spellStart"/>
      <w:r w:rsidRPr="003B5CCE">
        <w:t>reflete</w:t>
      </w:r>
      <w:proofErr w:type="spellEnd"/>
      <w:r w:rsidRPr="003B5CCE">
        <w:t xml:space="preserve"> a tendência de decréscimo sustentado observada (- 21, -4, -47 relativamente a 2011, 2010 e</w:t>
      </w:r>
      <w:r>
        <w:t xml:space="preserve"> </w:t>
      </w:r>
      <w:r w:rsidRPr="003B5CCE">
        <w:t xml:space="preserve">2009, </w:t>
      </w:r>
      <w:proofErr w:type="spellStart"/>
      <w:r w:rsidRPr="003B5CCE">
        <w:t>respetivamente</w:t>
      </w:r>
      <w:proofErr w:type="spellEnd"/>
      <w:r w:rsidRPr="003B5CCE">
        <w:t>) na comparação entre anos dois-a-dois só a diferença com 2009 revelou significado estatístico;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P35-P35 “</w:t>
      </w:r>
      <w:proofErr w:type="spellStart"/>
      <w:r w:rsidRPr="003B5CCE">
        <w:t>Infeções</w:t>
      </w:r>
      <w:proofErr w:type="spellEnd"/>
      <w:r w:rsidRPr="003B5CCE">
        <w:t xml:space="preserve"> específicas do período perinatal” – denotou uma heterogeneidade significativa nos quatro anos em estudo que se deve essencialmente à diferença observada em 2010 onde ocorreu um número substancialmente, e estatisticamente inferior.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Na análise das causas básicas de morte pós-neonatal observou-se: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Por letra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Redução sustentada por Doenças do aparelho respiratório – letra J – sem registo de casos em 2012;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Recrudescimento das causas inseridas na letra T (parte do grande grupo das lesões, envenenamentos e algumas outras consequências de causas externas) tendo-se observado nível idêntico ao de 2009 e aumentos relativamente a 2011 e 2010 com algum significado estatístico apesar dos baixos números absolutos (4 e 5 óbitos, </w:t>
      </w:r>
      <w:proofErr w:type="spellStart"/>
      <w:r w:rsidRPr="003B5CCE">
        <w:t>respetivamente</w:t>
      </w:r>
      <w:proofErr w:type="spellEnd"/>
      <w:r w:rsidRPr="003B5CCE">
        <w:t>);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Recrudescimento e aumento da letra P “algumas </w:t>
      </w:r>
      <w:proofErr w:type="spellStart"/>
      <w:r w:rsidRPr="003B5CCE">
        <w:t>afeções</w:t>
      </w:r>
      <w:proofErr w:type="spellEnd"/>
      <w:r w:rsidRPr="003B5CCE">
        <w:t xml:space="preserve"> originadas no período perinatal”, onde se observou um aumento muito significativo relativamente a 2011 (11 óbitos, p=0,016) e 2010 (9 óbitos, p=0,035).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Recrudescimento muito significativo das causas com letra G “Doenças do sistema nervoso” que em 2011 tinha tido um decréscimo acentuado.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Por causas a 3 </w:t>
      </w:r>
      <w:proofErr w:type="spellStart"/>
      <w:r w:rsidRPr="003B5CCE">
        <w:t>carateres</w:t>
      </w:r>
      <w:proofErr w:type="spellEnd"/>
    </w:p>
    <w:p w:rsidR="00E1633C" w:rsidRPr="003B5CCE" w:rsidRDefault="00E1633C" w:rsidP="00E1633C">
      <w:pPr>
        <w:spacing w:line="360" w:lineRule="auto"/>
        <w:jc w:val="both"/>
      </w:pPr>
      <w:r w:rsidRPr="003B5CCE">
        <w:lastRenderedPageBreak/>
        <w:t>- Recrudescimento e aumento da causa Q24 - “Outras malformações congénitas do coração”, aparentando algum crescimento sustentado quando feita comparação com 2009 e 2011;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Aumento sustentado da causa P77 - “Enterocolite necrotizante do feto e do recém-nascido”, apesar dos números absolutos reduzidos a heterogeneidade significativa nos quatro anos (p=0,014) revela a tendência emergente;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Recrudescimento da causa Q87 – “Outras síndromes com malformações congénitas que acometem múltiplos sistemas”, com um aumento de 9 óbitos relativamente a 2011 volta a níveis observados em anos anteriores.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Recrudescimento da causa R99, parecendo que em 2011 terão existido estatisticamente menos </w:t>
      </w:r>
      <w:proofErr w:type="gramStart"/>
      <w:r w:rsidRPr="003B5CCE">
        <w:t>causas indefinidas, voltando o nível destas causas</w:t>
      </w:r>
      <w:proofErr w:type="gramEnd"/>
      <w:r w:rsidRPr="003B5CCE">
        <w:t xml:space="preserve"> em 2012 para o nível de anos anteriores;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A análise por causas a 4 </w:t>
      </w:r>
      <w:proofErr w:type="spellStart"/>
      <w:r w:rsidRPr="003B5CCE">
        <w:t>carateres</w:t>
      </w:r>
      <w:proofErr w:type="spellEnd"/>
      <w:r w:rsidRPr="003B5CCE">
        <w:t xml:space="preserve"> não diferiu, nos resultados substanciais, do observado na análise das causas a 3 </w:t>
      </w:r>
      <w:proofErr w:type="spellStart"/>
      <w:r w:rsidRPr="003B5CCE">
        <w:t>carateres</w:t>
      </w:r>
      <w:proofErr w:type="spellEnd"/>
      <w:r w:rsidRPr="003B5CCE">
        <w:t xml:space="preserve">. Talvez digno de nota, referir que a causa Q878 se refere a malformações congénitas especificadas mas não codificadas em outra parte </w:t>
      </w:r>
      <w:proofErr w:type="gramStart"/>
      <w:r w:rsidRPr="003B5CCE">
        <w:t>da CID</w:t>
      </w:r>
      <w:proofErr w:type="gramEnd"/>
      <w:r w:rsidRPr="003B5CCE">
        <w:t xml:space="preserve"> 10.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Por categorias de três </w:t>
      </w:r>
      <w:proofErr w:type="spellStart"/>
      <w:r w:rsidRPr="003B5CCE">
        <w:t>carateres</w:t>
      </w:r>
      <w:proofErr w:type="spellEnd"/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O conjunto de causas a 3 </w:t>
      </w:r>
      <w:proofErr w:type="spellStart"/>
      <w:r w:rsidRPr="003B5CCE">
        <w:t>carateres</w:t>
      </w:r>
      <w:proofErr w:type="spellEnd"/>
      <w:r w:rsidRPr="003B5CCE">
        <w:t xml:space="preserve"> mais frequente é R95-R99 – “Causas mal definidas e desconhecidas de mortalidade” consistentemente acima dos 22% em todos os anos estudados;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O segundo conjunto de causas mais frequente Q20-Q28 - ”Malformações congénitas do aparelho circulatório” com oscilação nos anos em estudo mas a situar-se perto dos 16% das mortes neonatais em 2012;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Em terceiro lugar surge um grupo P75-P78 – “Transtornos do aparelho digestivo do feto e do recém-nascido” que atingiu os 8,4% em 2012, percentagem mais elevada do que o observado nos anos anteriores (evolução com significado estatístico p=0,042 para a heterogeneidade entre anos);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São ainda de referência os grupos Q80-Q89 – “Malformações congénitas” e P20-P29 – “Transtornos respiratórios e cardiovasculares específicos do período perinatal”, ambas a rondar os 5% do total da </w:t>
      </w:r>
      <w:proofErr w:type="spellStart"/>
      <w:r w:rsidRPr="003B5CCE">
        <w:t>respetiva</w:t>
      </w:r>
      <w:proofErr w:type="spellEnd"/>
      <w:r w:rsidRPr="003B5CCE">
        <w:t xml:space="preserve"> mortalidade.</w:t>
      </w:r>
    </w:p>
    <w:p w:rsidR="00E1633C" w:rsidRPr="003B5CCE" w:rsidRDefault="00E1633C" w:rsidP="00E1633C">
      <w:pPr>
        <w:spacing w:line="360" w:lineRule="auto"/>
        <w:jc w:val="both"/>
      </w:pPr>
    </w:p>
    <w:p w:rsidR="00E1633C" w:rsidRPr="003B5CCE" w:rsidRDefault="00E1633C" w:rsidP="00E1633C">
      <w:pPr>
        <w:spacing w:line="360" w:lineRule="auto"/>
        <w:jc w:val="both"/>
      </w:pPr>
      <w:r w:rsidRPr="003B5CCE">
        <w:t>Na análise das causas básicas de morte dos certificados de óbitos ocorridos em indivíduos com menos de cinco anos por letra da CID10, verificou-se: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lastRenderedPageBreak/>
        <w:t xml:space="preserve">- Ausência de diferenças estatísticas na comparação entre 2012 e 2010 e entre 2012 e 2009, tendo como única </w:t>
      </w:r>
      <w:proofErr w:type="spellStart"/>
      <w:r w:rsidRPr="003B5CCE">
        <w:t>exceção</w:t>
      </w:r>
      <w:proofErr w:type="spellEnd"/>
      <w:r w:rsidRPr="003B5CCE">
        <w:t xml:space="preserve"> as </w:t>
      </w:r>
      <w:proofErr w:type="gramStart"/>
      <w:r w:rsidRPr="003B5CCE">
        <w:t>causas</w:t>
      </w:r>
      <w:proofErr w:type="gramEnd"/>
      <w:r w:rsidRPr="003B5CCE">
        <w:t xml:space="preserve"> associadas à letra J – “Doenças do Aparelho Respiratório” que apresentaram tendência de decréscimo algo sustentada.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Na comparação de 2012 com 2010, três causas associadas a letras apresentaram evidências de aumento: P – “Algumas </w:t>
      </w:r>
      <w:proofErr w:type="spellStart"/>
      <w:r w:rsidRPr="003B5CCE">
        <w:t>afeções</w:t>
      </w:r>
      <w:proofErr w:type="spellEnd"/>
      <w:r w:rsidRPr="003B5CCE">
        <w:t xml:space="preserve"> originadas no período perinatal”; E – “Doenças endócrinas, nutricionais e metabólicas” e Q – “Malformações congénitas, deformidades e anomalias cromossómicas”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A análise da causa básica de morte abaixo dos 5 anos a 3 </w:t>
      </w:r>
      <w:proofErr w:type="spellStart"/>
      <w:r w:rsidRPr="003B5CCE">
        <w:t>carateres</w:t>
      </w:r>
      <w:proofErr w:type="spellEnd"/>
      <w:r w:rsidRPr="003B5CCE">
        <w:t xml:space="preserve"> da CID10 revelou: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Padrão semelhante àquele observado por letra com mais diferenças na comparação com 2010 do que com 2009 ou 2011.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A causa P29 – “Transtornos cardiovasculares originados no período perinatal” – associada à mortalidade abaixo de 1 ano (mortalidade infantil), como já visto- apresentou tendência de decréscimo algo sustentado;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A causa P61 –“Outros transtornos hematológicos perinatais” mostrou-se aumentada em 2012 em comparação com 2011 (-7 óbitos, p=0,006) e 2010 (-6 óbitos, p=0,024)</w:t>
      </w:r>
    </w:p>
    <w:p w:rsidR="00E1633C" w:rsidRPr="003B5CCE" w:rsidRDefault="00E1633C" w:rsidP="00E1633C">
      <w:pPr>
        <w:spacing w:line="360" w:lineRule="auto"/>
        <w:jc w:val="both"/>
      </w:pP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As causas J18 – “Pneumonia por </w:t>
      </w:r>
      <w:proofErr w:type="spellStart"/>
      <w:r w:rsidRPr="003B5CCE">
        <w:t>micro-organismo</w:t>
      </w:r>
      <w:proofErr w:type="spellEnd"/>
      <w:r w:rsidRPr="003B5CCE">
        <w:t xml:space="preserve"> não especificada” (-7 óbitos, p=0,011), Q90 – “Síndrome de </w:t>
      </w:r>
      <w:proofErr w:type="spellStart"/>
      <w:r w:rsidRPr="003B5CCE">
        <w:t>Down</w:t>
      </w:r>
      <w:proofErr w:type="spellEnd"/>
      <w:r w:rsidRPr="003B5CCE">
        <w:t>” (-7 óbitos, p=0,011) e S06 – “Traumatismo intracraniano” (-7 óbitos, p=0,047) apresentaram tendências decrescentes em 2012 quando comparadas com 2009;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Na comparação de 2012 com 2010, para além das causas P29 e P61 (já referidas) com tendência de decréscimo significativo, emergiram mais três causas com tendência de acréscimos significativos: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P01 – “Feto e recém-nascido </w:t>
      </w:r>
      <w:proofErr w:type="spellStart"/>
      <w:r w:rsidRPr="003B5CCE">
        <w:t>afetados</w:t>
      </w:r>
      <w:proofErr w:type="spellEnd"/>
      <w:r w:rsidRPr="003B5CCE">
        <w:t xml:space="preserve"> por complicações maternas da gravidez” (+5 óbitos, p=0,023)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P36 – “Septicemia bacteriana do recém-nascido” (+9 óbitos, p=0,038)</w:t>
      </w:r>
    </w:p>
    <w:p w:rsidR="00E1633C" w:rsidRPr="003B5CCE" w:rsidRDefault="00E1633C" w:rsidP="00E1633C">
      <w:pPr>
        <w:spacing w:line="360" w:lineRule="auto"/>
        <w:jc w:val="both"/>
      </w:pPr>
      <w:proofErr w:type="gramStart"/>
      <w:r w:rsidRPr="003B5CCE">
        <w:t>e</w:t>
      </w:r>
      <w:proofErr w:type="gramEnd"/>
      <w:r w:rsidRPr="003B5CCE">
        <w:t xml:space="preserve"> Q25 – “Malformações congénitas das grandes artérias” (+4 óbitos, p=0,049).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A análise das causas básicas de morte associadas aos óbitos abaixo dos 5 anos, analisadas por causas codificadas a 4 dígitos, revelou: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Na comparação entre anos, apenas três causas se mostraram estatisticamente diferentes em 2012 quando comparadas com o ocorrido em 2011: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P261 – “Hemorragia pulmonar maciça originada no período perinatal” (-7 óbitos, p=0,042)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P910 – “Isquemia cerebral neonatal” (-6 óbitos, p=0,019)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lastRenderedPageBreak/>
        <w:t>P280 – “Atelectasia primária do recém-nascido” (-6 óbitos, p=0,044)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- Na comparação com 2010, a causa P269 mostrou-se também diminuída (-5 óbitos, p=0,042); aumentada a causa P916 – “Encefalopatia </w:t>
      </w:r>
      <w:proofErr w:type="spellStart"/>
      <w:r w:rsidRPr="003B5CCE">
        <w:t>hipóxico</w:t>
      </w:r>
      <w:proofErr w:type="spellEnd"/>
      <w:r w:rsidRPr="003B5CCE">
        <w:t>-isquémica do recém-nascido” (+4 óbitos, p=0,049) e também diminuída a causa P910 – “Isquemia cerebral neonatal” (-5 óbitos, p=0,042)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- Na comparação com 2009 observou-se um consistente decréscimo da mortalidade em múltiplas causas.</w:t>
      </w:r>
    </w:p>
    <w:p w:rsidR="00E1633C" w:rsidRPr="003B5CCE" w:rsidRDefault="00E1633C" w:rsidP="00E1633C">
      <w:pPr>
        <w:spacing w:line="360" w:lineRule="auto"/>
        <w:jc w:val="both"/>
      </w:pPr>
    </w:p>
    <w:p w:rsidR="00E1633C" w:rsidRPr="003B5CCE" w:rsidRDefault="00E1633C" w:rsidP="00E1633C">
      <w:pPr>
        <w:spacing w:line="360" w:lineRule="auto"/>
        <w:jc w:val="both"/>
      </w:pPr>
      <w:r w:rsidRPr="003B5CCE">
        <w:t xml:space="preserve">A mortalidade abaixo dos 5 anos dispersa-se por uma lista extensa de categorias a três </w:t>
      </w:r>
      <w:proofErr w:type="spellStart"/>
      <w:r w:rsidRPr="003B5CCE">
        <w:t>carateres</w:t>
      </w:r>
      <w:proofErr w:type="spellEnd"/>
      <w:r w:rsidRPr="003B5CCE">
        <w:t xml:space="preserve"> da CID10. As principais categorias, em termos de volume (% do total de causas básicas de morte) em 2012 foram: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P20 – “Transtornos respiratórios e cardiovasculares específicos do período perinatal” com um peso de 12,3% em 2012, mas que tinha tido um peso de 20,2% em 2009, esta categoria apresentou alguma tendência de decréscimo embora com recrudescimento em 2012;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R95 – R99 – “Causas mal definidas e desconhecidas de mortalidade” com um peso de 10,6% em 2012, mostrando nos anos estudados alguma tendência de crescimento embora só com algum significado entre 2012 e 2011 (+10 óbitos, p=0,08);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Q20-Q28 – “Malformações congénitas do aparelho circulatório” com um peso de 9,5% em 2012 que não apresentou variações estatísticas com significado.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Digno de nota é a diminuição de óbitos na causa básica J09-J18 – “Influenza [gripe] e pneumonia” que teve um registo de 8 óbitos em 2009 e zero em 2012.</w:t>
      </w:r>
    </w:p>
    <w:p w:rsidR="00E1633C" w:rsidRPr="003B5CCE" w:rsidRDefault="00E1633C" w:rsidP="00E1633C">
      <w:pPr>
        <w:spacing w:line="360" w:lineRule="auto"/>
        <w:jc w:val="both"/>
      </w:pPr>
      <w:r w:rsidRPr="003B5CCE">
        <w:t>A análise das causas básicas de morte, no global, revela que a mortalidade abaixo dos 5 anos de 2012 não diferiu estatisticamente da do ano de 2011 (-10 óbitos, p=0,267), mas diferiu da do ano de 2010 (+37 óbitos, p=0,002) e foi tendencialmente menor que a do ano de 2009 (-87 óbitos, p=0,062).</w:t>
      </w:r>
    </w:p>
    <w:p w:rsidR="00E1633C" w:rsidRDefault="00E1633C" w:rsidP="00E1633C">
      <w:pPr>
        <w:spacing w:line="360" w:lineRule="auto"/>
        <w:jc w:val="both"/>
        <w:rPr>
          <w:b/>
        </w:rPr>
      </w:pPr>
      <w:r>
        <w:rPr>
          <w:b/>
        </w:rPr>
        <w:t>No dia 18 de maio de 2014, pelas 15 horas, u</w:t>
      </w:r>
      <w:r w:rsidRPr="000E503A">
        <w:rPr>
          <w:b/>
        </w:rPr>
        <w:t xml:space="preserve">m indivíduo </w:t>
      </w:r>
      <w:r>
        <w:rPr>
          <w:b/>
        </w:rPr>
        <w:t>de 41 anos foi atropelado em Ponte de Sor. Chamado o 112, foi assistido no local. Estava consciente e orientado no tempo no espaço. Queixava-se de dor abdominal. Foi levado ao hospital mais próximo tendo-lhe sido diagnosticado um ventre agudo. Foi operado de urgência e recuperou, pelo que ao 5.º dia teve alta sem complicações.</w:t>
      </w:r>
    </w:p>
    <w:p w:rsidR="005E7F44" w:rsidRPr="00E1633C" w:rsidRDefault="00E1633C" w:rsidP="003B5CCE">
      <w:pPr>
        <w:spacing w:line="360" w:lineRule="auto"/>
        <w:jc w:val="both"/>
        <w:rPr>
          <w:b/>
        </w:rPr>
      </w:pPr>
      <w:r>
        <w:rPr>
          <w:b/>
        </w:rPr>
        <w:t>Resta dizer que se chamava Rui, tinha dois filhos, um com 16 e outro com 9 anos, e a mulher encontrava-se à hora do acidente a viajar para França, donde era natural. Mal soube do sucedido regressou de automóvel, tendo às 20 horas.</w:t>
      </w:r>
      <w:bookmarkStart w:id="0" w:name="_GoBack"/>
      <w:bookmarkEnd w:id="0"/>
    </w:p>
    <w:p w:rsidR="005E7F44" w:rsidRDefault="005E7F44" w:rsidP="003B5CCE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</w:pPr>
    </w:p>
    <w:p w:rsidR="005E7F44" w:rsidRDefault="005E7F44" w:rsidP="003B5CCE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</w:pPr>
    </w:p>
    <w:p w:rsidR="005E7F44" w:rsidRDefault="005E7F44" w:rsidP="003B5CCE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</w:pPr>
    </w:p>
    <w:p w:rsidR="00962EE0" w:rsidRPr="003B5CCE" w:rsidRDefault="00962EE0">
      <w:pPr>
        <w:spacing w:line="360" w:lineRule="auto"/>
        <w:jc w:val="both"/>
      </w:pPr>
    </w:p>
    <w:sectPr w:rsidR="00962EE0" w:rsidRPr="003B5CCE" w:rsidSect="00520970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2D" w:rsidRDefault="00AA0F2D">
      <w:r>
        <w:separator/>
      </w:r>
    </w:p>
  </w:endnote>
  <w:endnote w:type="continuationSeparator" w:id="0">
    <w:p w:rsidR="00AA0F2D" w:rsidRDefault="00AA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CC" w:rsidRDefault="00CD76CC" w:rsidP="00DD50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76CC" w:rsidRDefault="00CD76CC" w:rsidP="005209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CC" w:rsidRDefault="00CD76CC" w:rsidP="00DD50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633C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CD76CC" w:rsidRDefault="00CD76CC" w:rsidP="0052097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2D" w:rsidRDefault="00AA0F2D">
      <w:r>
        <w:separator/>
      </w:r>
    </w:p>
  </w:footnote>
  <w:footnote w:type="continuationSeparator" w:id="0">
    <w:p w:rsidR="00AA0F2D" w:rsidRDefault="00AA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1E2"/>
    <w:multiLevelType w:val="hybridMultilevel"/>
    <w:tmpl w:val="C4F203BC"/>
    <w:lvl w:ilvl="0" w:tplc="8FC617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ED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ABD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A34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4F1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0CE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042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8F1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0A2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B5C57"/>
    <w:multiLevelType w:val="hybridMultilevel"/>
    <w:tmpl w:val="58B801A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745B6D"/>
    <w:multiLevelType w:val="hybridMultilevel"/>
    <w:tmpl w:val="5E4E348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EE3420"/>
    <w:multiLevelType w:val="hybridMultilevel"/>
    <w:tmpl w:val="6824C32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372891"/>
    <w:multiLevelType w:val="hybridMultilevel"/>
    <w:tmpl w:val="0100CFB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BF5BFD"/>
    <w:multiLevelType w:val="hybridMultilevel"/>
    <w:tmpl w:val="9A2ACA7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5D4700"/>
    <w:multiLevelType w:val="hybridMultilevel"/>
    <w:tmpl w:val="2D26682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0E368B"/>
    <w:multiLevelType w:val="hybridMultilevel"/>
    <w:tmpl w:val="719E3438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7830C1"/>
    <w:multiLevelType w:val="hybridMultilevel"/>
    <w:tmpl w:val="4AB43C3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99"/>
    <w:rsid w:val="0001137A"/>
    <w:rsid w:val="00016B42"/>
    <w:rsid w:val="00020A91"/>
    <w:rsid w:val="00045E60"/>
    <w:rsid w:val="0006083F"/>
    <w:rsid w:val="0006566C"/>
    <w:rsid w:val="00087C39"/>
    <w:rsid w:val="000C5EBB"/>
    <w:rsid w:val="000D2A65"/>
    <w:rsid w:val="000E1C19"/>
    <w:rsid w:val="000E503A"/>
    <w:rsid w:val="00113434"/>
    <w:rsid w:val="001474CD"/>
    <w:rsid w:val="00157228"/>
    <w:rsid w:val="001625D9"/>
    <w:rsid w:val="0017419B"/>
    <w:rsid w:val="00185E04"/>
    <w:rsid w:val="001B1BB0"/>
    <w:rsid w:val="001E433C"/>
    <w:rsid w:val="00297483"/>
    <w:rsid w:val="002C67E6"/>
    <w:rsid w:val="0031035A"/>
    <w:rsid w:val="003440FD"/>
    <w:rsid w:val="00353959"/>
    <w:rsid w:val="00387D46"/>
    <w:rsid w:val="003B5CCE"/>
    <w:rsid w:val="003C3617"/>
    <w:rsid w:val="003C3A47"/>
    <w:rsid w:val="003E0ADF"/>
    <w:rsid w:val="003E0CBA"/>
    <w:rsid w:val="003F2D52"/>
    <w:rsid w:val="00440092"/>
    <w:rsid w:val="00477104"/>
    <w:rsid w:val="004C79CB"/>
    <w:rsid w:val="00511158"/>
    <w:rsid w:val="00520970"/>
    <w:rsid w:val="00533C90"/>
    <w:rsid w:val="00544C78"/>
    <w:rsid w:val="00571C1A"/>
    <w:rsid w:val="005E7F44"/>
    <w:rsid w:val="006131CF"/>
    <w:rsid w:val="00621887"/>
    <w:rsid w:val="006A2699"/>
    <w:rsid w:val="006C1FB5"/>
    <w:rsid w:val="0070295E"/>
    <w:rsid w:val="0072412F"/>
    <w:rsid w:val="0072423F"/>
    <w:rsid w:val="007269A6"/>
    <w:rsid w:val="007346F4"/>
    <w:rsid w:val="007362C0"/>
    <w:rsid w:val="007429CF"/>
    <w:rsid w:val="00761F10"/>
    <w:rsid w:val="00770744"/>
    <w:rsid w:val="007E3797"/>
    <w:rsid w:val="007F7B96"/>
    <w:rsid w:val="008133BC"/>
    <w:rsid w:val="00836737"/>
    <w:rsid w:val="00862C71"/>
    <w:rsid w:val="00881989"/>
    <w:rsid w:val="008A72A4"/>
    <w:rsid w:val="008B2B02"/>
    <w:rsid w:val="009154F5"/>
    <w:rsid w:val="0095219B"/>
    <w:rsid w:val="00962EE0"/>
    <w:rsid w:val="00965393"/>
    <w:rsid w:val="009A64C4"/>
    <w:rsid w:val="009A7D2D"/>
    <w:rsid w:val="009B0805"/>
    <w:rsid w:val="009B59D3"/>
    <w:rsid w:val="009D0E45"/>
    <w:rsid w:val="009F2354"/>
    <w:rsid w:val="00A14544"/>
    <w:rsid w:val="00A25A39"/>
    <w:rsid w:val="00A4020B"/>
    <w:rsid w:val="00AA0F2D"/>
    <w:rsid w:val="00AB1C7C"/>
    <w:rsid w:val="00AE0B02"/>
    <w:rsid w:val="00B12057"/>
    <w:rsid w:val="00B4445E"/>
    <w:rsid w:val="00BC5393"/>
    <w:rsid w:val="00BF1080"/>
    <w:rsid w:val="00C131F7"/>
    <w:rsid w:val="00C15476"/>
    <w:rsid w:val="00C27F72"/>
    <w:rsid w:val="00C4094F"/>
    <w:rsid w:val="00C42C68"/>
    <w:rsid w:val="00C442B2"/>
    <w:rsid w:val="00C542D8"/>
    <w:rsid w:val="00C975F2"/>
    <w:rsid w:val="00CA592C"/>
    <w:rsid w:val="00CC7FF8"/>
    <w:rsid w:val="00CD1758"/>
    <w:rsid w:val="00CD76CC"/>
    <w:rsid w:val="00CF3B1A"/>
    <w:rsid w:val="00D32E6D"/>
    <w:rsid w:val="00D649F5"/>
    <w:rsid w:val="00DD50C2"/>
    <w:rsid w:val="00E1633C"/>
    <w:rsid w:val="00E70B1B"/>
    <w:rsid w:val="00E82A59"/>
    <w:rsid w:val="00EA2288"/>
    <w:rsid w:val="00F14B6D"/>
    <w:rsid w:val="00F40391"/>
    <w:rsid w:val="00F93304"/>
    <w:rsid w:val="00FA63BB"/>
    <w:rsid w:val="00FC3073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">
    <w:name w:val="Título 3"/>
    <w:basedOn w:val="Normal"/>
    <w:qFormat/>
    <w:rsid w:val="00511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Ttulo4">
    <w:name w:val="Título 4"/>
    <w:basedOn w:val="Normal"/>
    <w:qFormat/>
    <w:rsid w:val="00511158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Ttulo5">
    <w:name w:val="Título 5"/>
    <w:basedOn w:val="Normal"/>
    <w:qFormat/>
    <w:rsid w:val="0051115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table" w:styleId="Tabelacomgrelha">
    <w:name w:val="Table Grid"/>
    <w:basedOn w:val="Tabelanormal"/>
    <w:rsid w:val="00C1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2097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20970"/>
  </w:style>
  <w:style w:type="character" w:styleId="Hiperligao">
    <w:name w:val="Hyperlink"/>
    <w:rsid w:val="00477104"/>
    <w:rPr>
      <w:color w:val="0000FF"/>
      <w:u w:val="single"/>
    </w:rPr>
  </w:style>
  <w:style w:type="paragraph" w:styleId="NormalWeb">
    <w:name w:val="Normal (Web)"/>
    <w:basedOn w:val="Normal"/>
    <w:rsid w:val="00511158"/>
    <w:pPr>
      <w:spacing w:before="100" w:beforeAutospacing="1" w:after="100" w:afterAutospacing="1"/>
    </w:pPr>
  </w:style>
  <w:style w:type="character" w:styleId="Forte">
    <w:name w:val="Strong"/>
    <w:qFormat/>
    <w:rsid w:val="00020A91"/>
    <w:rPr>
      <w:b/>
      <w:bCs/>
    </w:rPr>
  </w:style>
  <w:style w:type="paragraph" w:customStyle="1" w:styleId="Default">
    <w:name w:val="Default"/>
    <w:rsid w:val="00087C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1625D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6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">
    <w:name w:val="Título 3"/>
    <w:basedOn w:val="Normal"/>
    <w:qFormat/>
    <w:rsid w:val="00511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Ttulo4">
    <w:name w:val="Título 4"/>
    <w:basedOn w:val="Normal"/>
    <w:qFormat/>
    <w:rsid w:val="00511158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Ttulo5">
    <w:name w:val="Título 5"/>
    <w:basedOn w:val="Normal"/>
    <w:qFormat/>
    <w:rsid w:val="0051115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table" w:styleId="Tabelacomgrelha">
    <w:name w:val="Table Grid"/>
    <w:basedOn w:val="Tabelanormal"/>
    <w:rsid w:val="00C1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2097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20970"/>
  </w:style>
  <w:style w:type="character" w:styleId="Hiperligao">
    <w:name w:val="Hyperlink"/>
    <w:rsid w:val="00477104"/>
    <w:rPr>
      <w:color w:val="0000FF"/>
      <w:u w:val="single"/>
    </w:rPr>
  </w:style>
  <w:style w:type="paragraph" w:styleId="NormalWeb">
    <w:name w:val="Normal (Web)"/>
    <w:basedOn w:val="Normal"/>
    <w:rsid w:val="00511158"/>
    <w:pPr>
      <w:spacing w:before="100" w:beforeAutospacing="1" w:after="100" w:afterAutospacing="1"/>
    </w:pPr>
  </w:style>
  <w:style w:type="character" w:styleId="Forte">
    <w:name w:val="Strong"/>
    <w:qFormat/>
    <w:rsid w:val="00020A91"/>
    <w:rPr>
      <w:b/>
      <w:bCs/>
    </w:rPr>
  </w:style>
  <w:style w:type="paragraph" w:customStyle="1" w:styleId="Default">
    <w:name w:val="Default"/>
    <w:rsid w:val="00087C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rsid w:val="001625D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6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4FE0-73CE-4CF7-B3FE-6417C31F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5038</Words>
  <Characters>27208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SUPERIOR DE ENFERMAGEM DE COIMBRA</vt:lpstr>
    </vt:vector>
  </TitlesOfParts>
  <Company>ESEBB</Company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SUPERIOR DE ENFERMAGEM DE COIMBRA</dc:title>
  <dc:creator>docente</dc:creator>
  <cp:lastModifiedBy>Jorge Apostolo</cp:lastModifiedBy>
  <cp:revision>4</cp:revision>
  <dcterms:created xsi:type="dcterms:W3CDTF">2016-09-19T07:01:00Z</dcterms:created>
  <dcterms:modified xsi:type="dcterms:W3CDTF">2016-09-19T15:50:00Z</dcterms:modified>
</cp:coreProperties>
</file>