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8FC" w:rsidRDefault="006508FC"/>
    <w:p w:rsidR="00AC1B71" w:rsidRPr="00AC1B71" w:rsidRDefault="00AC1B71" w:rsidP="00AC1B71">
      <w:pPr>
        <w:spacing w:after="0"/>
        <w:rPr>
          <w:rFonts w:ascii="Arial Narrow" w:hAnsi="Arial Narrow"/>
          <w:b/>
          <w:u w:val="single"/>
        </w:rPr>
      </w:pPr>
      <w:r w:rsidRPr="00AC1B71">
        <w:rPr>
          <w:rFonts w:ascii="Arial Narrow" w:hAnsi="Arial Narrow"/>
          <w:b/>
          <w:u w:val="single"/>
        </w:rPr>
        <w:t>Prof. Regente: Adelaide Menezes Leitão</w:t>
      </w:r>
    </w:p>
    <w:p w:rsidR="00AC1B71" w:rsidRDefault="00AC1B71" w:rsidP="00AC1B71">
      <w:pPr>
        <w:spacing w:after="0"/>
        <w:rPr>
          <w:rFonts w:ascii="Arial Narrow" w:hAnsi="Arial Narrow"/>
          <w:b/>
          <w:u w:val="single"/>
        </w:rPr>
      </w:pPr>
      <w:r w:rsidRPr="00AC1B71">
        <w:rPr>
          <w:rFonts w:ascii="Arial Narrow" w:hAnsi="Arial Narrow"/>
          <w:b/>
          <w:u w:val="single"/>
        </w:rPr>
        <w:t>Prof. Assistente: João Lemos Esteves</w:t>
      </w:r>
    </w:p>
    <w:p w:rsidR="00AC1B71" w:rsidRPr="006865B8" w:rsidRDefault="00AC1B71" w:rsidP="00AC1B71">
      <w:pPr>
        <w:spacing w:after="0"/>
        <w:rPr>
          <w:rFonts w:ascii="Arial Narrow" w:hAnsi="Arial Narrow"/>
          <w:b/>
          <w:u w:val="single"/>
        </w:rPr>
      </w:pPr>
    </w:p>
    <w:p w:rsidR="006865B8" w:rsidRPr="006865B8" w:rsidRDefault="006865B8" w:rsidP="00AC1B71">
      <w:pPr>
        <w:spacing w:after="0"/>
        <w:rPr>
          <w:rFonts w:ascii="Arial Narrow" w:hAnsi="Arial Narrow"/>
          <w:b/>
          <w:sz w:val="24"/>
        </w:rPr>
      </w:pPr>
      <w:r w:rsidRPr="006865B8">
        <w:rPr>
          <w:rFonts w:ascii="Arial Narrow" w:hAnsi="Arial Narrow"/>
          <w:b/>
          <w:sz w:val="24"/>
        </w:rPr>
        <w:t>Acórdão do Tribunal da Relação de Lisboa 21 de Março de 2012</w:t>
      </w:r>
    </w:p>
    <w:p w:rsidR="006865B8" w:rsidRDefault="006865B8" w:rsidP="00B818FE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</w:r>
      <w:r w:rsidRPr="006865B8">
        <w:rPr>
          <w:rFonts w:ascii="Arial Narrow" w:hAnsi="Arial Narrow"/>
          <w:sz w:val="24"/>
        </w:rPr>
        <w:t>- V</w:t>
      </w:r>
      <w:r>
        <w:rPr>
          <w:rFonts w:ascii="Arial Narrow" w:hAnsi="Arial Narrow"/>
          <w:sz w:val="24"/>
        </w:rPr>
        <w:t>iolação dos Direitos de Personalidade: direito à voz, direitos de autor + Enriquecimento sem causa</w:t>
      </w:r>
    </w:p>
    <w:p w:rsidR="006865B8" w:rsidRDefault="006865B8" w:rsidP="00B818FE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>“Sumário: findo um contrato que continha o consentimento da autora para a utilização comercial das gravações da sua voz – bem de personalidade patrimonial – que tinha feito para a ré, esta não pode continuar a fazer o aproveitamento económico dessas gravações, sob pena de enriquecimento injustificado no valor igual do da retribuição habitual”</w:t>
      </w:r>
    </w:p>
    <w:p w:rsidR="006865B8" w:rsidRDefault="006865B8" w:rsidP="00AC1B71">
      <w:pPr>
        <w:spacing w:after="0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</w:r>
    </w:p>
    <w:p w:rsidR="00D72DCD" w:rsidRDefault="006865B8" w:rsidP="00F03DD4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  <w:t xml:space="preserve">Desde já, é importante referir que toda a pessoa jurídica não só pode ser, como </w:t>
      </w:r>
      <w:proofErr w:type="spellStart"/>
      <w:r>
        <w:rPr>
          <w:rFonts w:ascii="Arial Narrow" w:hAnsi="Arial Narrow"/>
          <w:sz w:val="24"/>
        </w:rPr>
        <w:t>efectivamente</w:t>
      </w:r>
      <w:proofErr w:type="spellEnd"/>
      <w:r>
        <w:rPr>
          <w:rFonts w:ascii="Arial Narrow" w:hAnsi="Arial Narrow"/>
          <w:sz w:val="24"/>
        </w:rPr>
        <w:t xml:space="preserve"> é, titular de alguns direitos e obrigações. Mesmo que no domínio patrimonial, lhe não pertençam por hipótese quaisquer direitos – o que é praticamente inconcebível </w:t>
      </w:r>
      <w:proofErr w:type="gramStart"/>
      <w:r>
        <w:rPr>
          <w:rFonts w:ascii="Arial Narrow" w:hAnsi="Arial Narrow"/>
          <w:sz w:val="24"/>
        </w:rPr>
        <w:t xml:space="preserve">- </w:t>
      </w:r>
      <w:r w:rsidR="009B54AE">
        <w:rPr>
          <w:rFonts w:ascii="Arial Narrow" w:hAnsi="Arial Narrow"/>
          <w:sz w:val="24"/>
        </w:rPr>
        <w:t xml:space="preserve"> a</w:t>
      </w:r>
      <w:proofErr w:type="gramEnd"/>
      <w:r w:rsidR="009B54AE">
        <w:rPr>
          <w:rFonts w:ascii="Arial Narrow" w:hAnsi="Arial Narrow"/>
          <w:sz w:val="24"/>
        </w:rPr>
        <w:t xml:space="preserve"> pessoa é titular de um certo número de direitos absolutos, que se impõem ao respeito de todos os outros, incidindo sobre os vários modos de ser físicos ou morais da sua personalidade: são os chamados direitos de personalidade consagrados nos artigos 70º e </w:t>
      </w:r>
      <w:proofErr w:type="spellStart"/>
      <w:r w:rsidR="009B54AE">
        <w:rPr>
          <w:rFonts w:ascii="Arial Narrow" w:hAnsi="Arial Narrow"/>
          <w:sz w:val="24"/>
        </w:rPr>
        <w:t>ss</w:t>
      </w:r>
      <w:proofErr w:type="spellEnd"/>
      <w:r w:rsidR="009B54AE">
        <w:rPr>
          <w:rFonts w:ascii="Arial Narrow" w:hAnsi="Arial Narrow"/>
          <w:sz w:val="24"/>
        </w:rPr>
        <w:t xml:space="preserve"> do Código Civil</w:t>
      </w:r>
      <w:sdt>
        <w:sdtPr>
          <w:rPr>
            <w:rFonts w:ascii="Arial Narrow" w:hAnsi="Arial Narrow"/>
            <w:sz w:val="24"/>
          </w:rPr>
          <w:id w:val="96160464"/>
          <w:citation/>
        </w:sdtPr>
        <w:sdtEndPr>
          <w:rPr>
            <w:sz w:val="22"/>
          </w:rPr>
        </w:sdtEndPr>
        <w:sdtContent>
          <w:r w:rsidR="00904815" w:rsidRPr="009B54AE">
            <w:rPr>
              <w:rFonts w:ascii="Arial Narrow" w:hAnsi="Arial Narrow"/>
            </w:rPr>
            <w:fldChar w:fldCharType="begin"/>
          </w:r>
          <w:r w:rsidR="009B54AE" w:rsidRPr="009B54AE">
            <w:rPr>
              <w:rFonts w:ascii="Arial Narrow" w:hAnsi="Arial Narrow"/>
            </w:rPr>
            <w:instrText xml:space="preserve"> CITATION Pin05 \l 2070  </w:instrText>
          </w:r>
          <w:r w:rsidR="00904815" w:rsidRPr="009B54AE">
            <w:rPr>
              <w:rFonts w:ascii="Arial Narrow" w:hAnsi="Arial Narrow"/>
            </w:rPr>
            <w:fldChar w:fldCharType="separate"/>
          </w:r>
          <w:r w:rsidR="009B54AE" w:rsidRPr="009B54AE">
            <w:rPr>
              <w:rFonts w:ascii="Arial Narrow" w:hAnsi="Arial Narrow"/>
              <w:noProof/>
            </w:rPr>
            <w:t xml:space="preserve"> (da Mota Pinto, 2005)</w:t>
          </w:r>
          <w:r w:rsidR="00904815" w:rsidRPr="009B54AE">
            <w:rPr>
              <w:rFonts w:ascii="Arial Narrow" w:hAnsi="Arial Narrow"/>
            </w:rPr>
            <w:fldChar w:fldCharType="end"/>
          </w:r>
        </w:sdtContent>
      </w:sdt>
      <w:r w:rsidR="009B54AE" w:rsidRPr="009B54AE">
        <w:rPr>
          <w:rStyle w:val="Refdenotaderodap"/>
          <w:rFonts w:ascii="Arial Narrow" w:hAnsi="Arial Narrow"/>
        </w:rPr>
        <w:footnoteReference w:id="1"/>
      </w:r>
      <w:r w:rsidR="009B54AE">
        <w:rPr>
          <w:rFonts w:ascii="Arial Narrow" w:hAnsi="Arial Narrow"/>
        </w:rPr>
        <w:t xml:space="preserve"> </w:t>
      </w:r>
      <w:r w:rsidR="00D72DCD">
        <w:rPr>
          <w:rFonts w:ascii="Arial Narrow" w:hAnsi="Arial Narrow"/>
          <w:sz w:val="24"/>
        </w:rPr>
        <w:t xml:space="preserve">. Este artigo 70º do Código Civil </w:t>
      </w:r>
      <w:r w:rsidR="00FB71CA">
        <w:rPr>
          <w:rFonts w:ascii="Arial Narrow" w:hAnsi="Arial Narrow"/>
          <w:sz w:val="24"/>
        </w:rPr>
        <w:t xml:space="preserve">(Tutela Geral da Personalidade) </w:t>
      </w:r>
      <w:r w:rsidR="00D72DCD">
        <w:rPr>
          <w:rFonts w:ascii="Arial Narrow" w:hAnsi="Arial Narrow"/>
          <w:sz w:val="24"/>
        </w:rPr>
        <w:t>é também alvo de contestaç</w:t>
      </w:r>
      <w:r w:rsidR="00FB71CA">
        <w:rPr>
          <w:rFonts w:ascii="Arial Narrow" w:hAnsi="Arial Narrow"/>
          <w:sz w:val="24"/>
        </w:rPr>
        <w:t>ões, uma vez que o Prof. Pedro Pais Vasconcelos considera esse mesmo artigo “Direito Geral de Personalidade” ao contrário do Prof. Menezes de Cordeiro que concorda com a designação do Código Civil.</w:t>
      </w:r>
    </w:p>
    <w:p w:rsidR="00FB71CA" w:rsidRDefault="00FB71CA" w:rsidP="00F03DD4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  <w:t xml:space="preserve">No Acórdão do Tribunal da Relação de Lisboa de 21/03/2012, cujo relator fora o </w:t>
      </w:r>
      <w:proofErr w:type="spellStart"/>
      <w:r>
        <w:rPr>
          <w:rFonts w:ascii="Arial Narrow" w:hAnsi="Arial Narrow"/>
          <w:sz w:val="24"/>
        </w:rPr>
        <w:t>juíz</w:t>
      </w:r>
      <w:proofErr w:type="spellEnd"/>
      <w:r>
        <w:rPr>
          <w:rFonts w:ascii="Arial Narrow" w:hAnsi="Arial Narrow"/>
          <w:sz w:val="24"/>
        </w:rPr>
        <w:t xml:space="preserve"> desembargador Pedro Martins, está em causa a violação dos direitos de personalidade, mais especificamente o direito à voz e direitos de autor.</w:t>
      </w:r>
    </w:p>
    <w:p w:rsidR="00702B09" w:rsidRDefault="000513C7" w:rsidP="00F03DD4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  <w:t xml:space="preserve">Neste mesmo acórdão </w:t>
      </w:r>
      <w:r w:rsidRPr="000513C7">
        <w:rPr>
          <w:rFonts w:ascii="Arial Narrow" w:hAnsi="Arial Narrow"/>
          <w:b/>
          <w:sz w:val="24"/>
        </w:rPr>
        <w:t>A</w:t>
      </w:r>
      <w:r>
        <w:rPr>
          <w:rFonts w:ascii="Arial Narrow" w:hAnsi="Arial Narrow"/>
          <w:b/>
          <w:sz w:val="24"/>
        </w:rPr>
        <w:t xml:space="preserve"> </w:t>
      </w:r>
      <w:r>
        <w:rPr>
          <w:rFonts w:ascii="Arial Narrow" w:hAnsi="Arial Narrow"/>
          <w:sz w:val="24"/>
        </w:rPr>
        <w:t>intentou ao Tribunal da Relação de Lisboa (</w:t>
      </w:r>
      <w:r w:rsidRPr="000513C7">
        <w:rPr>
          <w:rFonts w:ascii="Arial Narrow" w:hAnsi="Arial Narrow"/>
          <w:b/>
          <w:sz w:val="24"/>
        </w:rPr>
        <w:t>TRL</w:t>
      </w:r>
      <w:r>
        <w:rPr>
          <w:rFonts w:ascii="Arial Narrow" w:hAnsi="Arial Narrow"/>
          <w:sz w:val="24"/>
        </w:rPr>
        <w:t xml:space="preserve">) uma ação contra </w:t>
      </w:r>
      <w:r>
        <w:rPr>
          <w:rFonts w:ascii="Arial Narrow" w:hAnsi="Arial Narrow"/>
          <w:b/>
          <w:sz w:val="24"/>
        </w:rPr>
        <w:t xml:space="preserve">B </w:t>
      </w:r>
      <w:r>
        <w:rPr>
          <w:rFonts w:ascii="Arial Narrow" w:hAnsi="Arial Narrow"/>
          <w:sz w:val="24"/>
        </w:rPr>
        <w:t xml:space="preserve">(“ré” – B Portugal – Comunicações Pessoais S.A.) a 16 de Abril de 2009 pedindo que esta seja condenada a retirar do </w:t>
      </w:r>
      <w:proofErr w:type="spellStart"/>
      <w:r w:rsidRPr="00702B09">
        <w:rPr>
          <w:rFonts w:ascii="Arial Narrow" w:hAnsi="Arial Narrow"/>
          <w:i/>
          <w:sz w:val="24"/>
        </w:rPr>
        <w:t>voice</w:t>
      </w:r>
      <w:proofErr w:type="spellEnd"/>
      <w:r w:rsidRPr="00702B09">
        <w:rPr>
          <w:rFonts w:ascii="Arial Narrow" w:hAnsi="Arial Narrow"/>
          <w:i/>
          <w:sz w:val="24"/>
        </w:rPr>
        <w:t xml:space="preserve"> </w:t>
      </w:r>
      <w:proofErr w:type="gramStart"/>
      <w:r w:rsidRPr="00702B09">
        <w:rPr>
          <w:rFonts w:ascii="Arial Narrow" w:hAnsi="Arial Narrow"/>
          <w:i/>
          <w:sz w:val="24"/>
        </w:rPr>
        <w:t>mail</w:t>
      </w:r>
      <w:proofErr w:type="gramEnd"/>
      <w:r>
        <w:rPr>
          <w:rFonts w:ascii="Arial Narrow" w:hAnsi="Arial Narrow"/>
          <w:sz w:val="24"/>
        </w:rPr>
        <w:t xml:space="preserve"> da rede BBB quaisquer gravações e locuções contendo registos de voz de </w:t>
      </w:r>
      <w:r w:rsidRPr="00702B09">
        <w:rPr>
          <w:rFonts w:ascii="Arial Narrow" w:hAnsi="Arial Narrow"/>
          <w:b/>
          <w:sz w:val="24"/>
        </w:rPr>
        <w:t>A</w:t>
      </w:r>
      <w:r>
        <w:rPr>
          <w:rFonts w:ascii="Arial Narrow" w:hAnsi="Arial Narrow"/>
          <w:sz w:val="24"/>
        </w:rPr>
        <w:t xml:space="preserve">, nem utilizar, reproduzir ou divulgar as gravações e locuções contendo os registos de voz de </w:t>
      </w:r>
      <w:r w:rsidRPr="00702B09">
        <w:rPr>
          <w:rFonts w:ascii="Arial Narrow" w:hAnsi="Arial Narrow"/>
          <w:b/>
          <w:sz w:val="24"/>
        </w:rPr>
        <w:t>A</w:t>
      </w:r>
      <w:r>
        <w:rPr>
          <w:rFonts w:ascii="Arial Narrow" w:hAnsi="Arial Narrow"/>
          <w:sz w:val="24"/>
        </w:rPr>
        <w:t xml:space="preserve"> sem prévio consentimento escrito desta, seja qual f</w:t>
      </w:r>
      <w:r w:rsidR="00702B09">
        <w:rPr>
          <w:rFonts w:ascii="Arial Narrow" w:hAnsi="Arial Narrow"/>
          <w:sz w:val="24"/>
        </w:rPr>
        <w:t xml:space="preserve">or o suporte, meio ou fim, além disso, </w:t>
      </w:r>
      <w:r w:rsidR="00702B09" w:rsidRPr="00702B09">
        <w:rPr>
          <w:rFonts w:ascii="Arial Narrow" w:hAnsi="Arial Narrow"/>
          <w:b/>
          <w:sz w:val="24"/>
        </w:rPr>
        <w:t>B</w:t>
      </w:r>
      <w:r w:rsidR="00702B09">
        <w:rPr>
          <w:rFonts w:ascii="Arial Narrow" w:hAnsi="Arial Narrow"/>
          <w:sz w:val="24"/>
        </w:rPr>
        <w:t xml:space="preserve"> deve ainda pagar a </w:t>
      </w:r>
      <w:proofErr w:type="spellStart"/>
      <w:r w:rsidR="00702B09" w:rsidRPr="00702B09">
        <w:rPr>
          <w:rFonts w:ascii="Arial Narrow" w:hAnsi="Arial Narrow"/>
          <w:b/>
          <w:sz w:val="24"/>
        </w:rPr>
        <w:t>A</w:t>
      </w:r>
      <w:proofErr w:type="spellEnd"/>
      <w:r w:rsidR="00702B09">
        <w:rPr>
          <w:rFonts w:ascii="Arial Narrow" w:hAnsi="Arial Narrow"/>
          <w:sz w:val="24"/>
        </w:rPr>
        <w:t xml:space="preserve"> uma compensação em dinheiro, contabilizada à data da propositura da </w:t>
      </w:r>
      <w:proofErr w:type="spellStart"/>
      <w:r w:rsidR="00702B09">
        <w:rPr>
          <w:rFonts w:ascii="Arial Narrow" w:hAnsi="Arial Narrow"/>
          <w:sz w:val="24"/>
        </w:rPr>
        <w:t>acção</w:t>
      </w:r>
      <w:proofErr w:type="spellEnd"/>
      <w:r w:rsidR="00702B09">
        <w:rPr>
          <w:rFonts w:ascii="Arial Narrow" w:hAnsi="Arial Narrow"/>
          <w:sz w:val="24"/>
        </w:rPr>
        <w:t xml:space="preserve"> em 29.074,45€ e a este valor devem acrescer </w:t>
      </w:r>
      <w:r w:rsidR="00702B09">
        <w:rPr>
          <w:rFonts w:ascii="Arial Narrow" w:hAnsi="Arial Narrow"/>
          <w:sz w:val="24"/>
        </w:rPr>
        <w:lastRenderedPageBreak/>
        <w:t xml:space="preserve">quantias proporcionais vincendas à razão anual de 8.113,80€ até serem retiradas do </w:t>
      </w:r>
      <w:proofErr w:type="spellStart"/>
      <w:r w:rsidR="00702B09">
        <w:rPr>
          <w:rFonts w:ascii="Arial Narrow" w:hAnsi="Arial Narrow"/>
          <w:i/>
          <w:sz w:val="24"/>
        </w:rPr>
        <w:t>voice</w:t>
      </w:r>
      <w:proofErr w:type="spellEnd"/>
      <w:r w:rsidR="00702B09">
        <w:rPr>
          <w:rFonts w:ascii="Arial Narrow" w:hAnsi="Arial Narrow"/>
          <w:i/>
          <w:sz w:val="24"/>
        </w:rPr>
        <w:t xml:space="preserve"> mail</w:t>
      </w:r>
      <w:r w:rsidR="00702B09">
        <w:rPr>
          <w:rFonts w:ascii="Arial Narrow" w:hAnsi="Arial Narrow"/>
          <w:sz w:val="24"/>
        </w:rPr>
        <w:t xml:space="preserve"> da rede “BBB” quaisquer gravações ou locuções contendo registos de voz de </w:t>
      </w:r>
      <w:r w:rsidR="00702B09" w:rsidRPr="00702B09">
        <w:rPr>
          <w:rFonts w:ascii="Arial Narrow" w:hAnsi="Arial Narrow"/>
          <w:b/>
          <w:sz w:val="24"/>
        </w:rPr>
        <w:t>A</w:t>
      </w:r>
      <w:r w:rsidR="00702B09">
        <w:rPr>
          <w:rFonts w:ascii="Arial Narrow" w:hAnsi="Arial Narrow"/>
          <w:sz w:val="24"/>
        </w:rPr>
        <w:t>.</w:t>
      </w:r>
    </w:p>
    <w:p w:rsidR="00702B09" w:rsidRDefault="00702B09" w:rsidP="00F03DD4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</w:r>
      <w:r>
        <w:rPr>
          <w:rFonts w:ascii="Arial Narrow" w:hAnsi="Arial Narrow"/>
          <w:b/>
          <w:sz w:val="24"/>
        </w:rPr>
        <w:t>A</w:t>
      </w:r>
      <w:r>
        <w:rPr>
          <w:rFonts w:ascii="Arial Narrow" w:hAnsi="Arial Narrow"/>
          <w:sz w:val="24"/>
        </w:rPr>
        <w:t xml:space="preserve"> defende que no exercício da sua profiss</w:t>
      </w:r>
      <w:r w:rsidR="00F03DD4">
        <w:rPr>
          <w:rFonts w:ascii="Arial Narrow" w:hAnsi="Arial Narrow"/>
          <w:sz w:val="24"/>
        </w:rPr>
        <w:t xml:space="preserve">ão de </w:t>
      </w:r>
      <w:proofErr w:type="spellStart"/>
      <w:r w:rsidR="00F03DD4">
        <w:rPr>
          <w:rFonts w:ascii="Arial Narrow" w:hAnsi="Arial Narrow"/>
          <w:sz w:val="24"/>
        </w:rPr>
        <w:t>actriz</w:t>
      </w:r>
      <w:proofErr w:type="spellEnd"/>
      <w:r w:rsidR="00F03DD4">
        <w:rPr>
          <w:rFonts w:ascii="Arial Narrow" w:hAnsi="Arial Narrow"/>
          <w:sz w:val="24"/>
        </w:rPr>
        <w:t xml:space="preserve"> celebrou com </w:t>
      </w:r>
      <w:r w:rsidR="00F03DD4" w:rsidRPr="00F03DD4">
        <w:rPr>
          <w:rFonts w:ascii="Arial Narrow" w:hAnsi="Arial Narrow"/>
          <w:b/>
          <w:sz w:val="24"/>
        </w:rPr>
        <w:t>B</w:t>
      </w:r>
      <w:r>
        <w:rPr>
          <w:rFonts w:ascii="Arial Narrow" w:hAnsi="Arial Narrow"/>
          <w:sz w:val="24"/>
        </w:rPr>
        <w:t>, em 25/09/2000</w:t>
      </w:r>
      <w:r w:rsidR="00F03DD4">
        <w:rPr>
          <w:rFonts w:ascii="Arial Narrow" w:hAnsi="Arial Narrow"/>
          <w:sz w:val="24"/>
        </w:rPr>
        <w:t xml:space="preserve">, um contrato de prestação de serviços nos termos do qual se comprometeu a prestar serviços de locução e gravação em </w:t>
      </w:r>
      <w:proofErr w:type="spellStart"/>
      <w:r w:rsidR="00F03DD4">
        <w:rPr>
          <w:rFonts w:ascii="Arial Narrow" w:hAnsi="Arial Narrow"/>
          <w:sz w:val="24"/>
        </w:rPr>
        <w:t>acções</w:t>
      </w:r>
      <w:proofErr w:type="spellEnd"/>
      <w:r w:rsidR="00F03DD4">
        <w:rPr>
          <w:rFonts w:ascii="Arial Narrow" w:hAnsi="Arial Narrow"/>
          <w:sz w:val="24"/>
        </w:rPr>
        <w:t xml:space="preserve"> de informação sobre os produtos/serviços “BB/”B”.</w:t>
      </w:r>
    </w:p>
    <w:p w:rsidR="002F4362" w:rsidRDefault="00F03DD4" w:rsidP="00F03DD4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  <w:t xml:space="preserve">Neste contrato (negócio bilateral patrimonial) entre </w:t>
      </w:r>
      <w:r w:rsidRPr="00B818FE">
        <w:rPr>
          <w:rFonts w:ascii="Arial Narrow" w:hAnsi="Arial Narrow"/>
          <w:b/>
          <w:sz w:val="24"/>
        </w:rPr>
        <w:t xml:space="preserve">A </w:t>
      </w:r>
      <w:r>
        <w:rPr>
          <w:rFonts w:ascii="Arial Narrow" w:hAnsi="Arial Narrow"/>
          <w:sz w:val="24"/>
        </w:rPr>
        <w:t xml:space="preserve">e </w:t>
      </w:r>
      <w:r w:rsidRPr="00B818FE">
        <w:rPr>
          <w:rFonts w:ascii="Arial Narrow" w:hAnsi="Arial Narrow"/>
          <w:b/>
          <w:sz w:val="24"/>
        </w:rPr>
        <w:t>B</w:t>
      </w:r>
      <w:r>
        <w:rPr>
          <w:rFonts w:ascii="Arial Narrow" w:hAnsi="Arial Narrow"/>
          <w:sz w:val="24"/>
        </w:rPr>
        <w:t xml:space="preserve"> que tinha a duração de um ano, foi estipulada uma retribuição anual de 800,000€, acrescida de oferta de chamadas telefónicas. </w:t>
      </w:r>
      <w:proofErr w:type="gramStart"/>
      <w:r>
        <w:rPr>
          <w:rFonts w:ascii="Arial Narrow" w:hAnsi="Arial Narrow"/>
          <w:sz w:val="24"/>
        </w:rPr>
        <w:t>este</w:t>
      </w:r>
      <w:proofErr w:type="gramEnd"/>
      <w:r>
        <w:rPr>
          <w:rFonts w:ascii="Arial Narrow" w:hAnsi="Arial Narrow"/>
          <w:sz w:val="24"/>
        </w:rPr>
        <w:t xml:space="preserve"> mesmo contrato foi renovado por períodos iguais de 1 ano</w:t>
      </w:r>
      <w:r w:rsidR="00AE734F">
        <w:rPr>
          <w:rFonts w:ascii="Arial Narrow" w:hAnsi="Arial Narrow"/>
          <w:sz w:val="24"/>
        </w:rPr>
        <w:t>, por 4 vezes consecutivas, até 2005 terminando nesse ano, mais concretamente a 5 de Setembro</w:t>
      </w:r>
      <w:r>
        <w:rPr>
          <w:rFonts w:ascii="Arial Narrow" w:hAnsi="Arial Narrow"/>
          <w:sz w:val="24"/>
        </w:rPr>
        <w:t xml:space="preserve"> </w:t>
      </w:r>
      <w:r w:rsidR="00AE734F">
        <w:rPr>
          <w:rFonts w:ascii="Arial Narrow" w:hAnsi="Arial Narrow"/>
          <w:sz w:val="24"/>
        </w:rPr>
        <w:t xml:space="preserve">de 2005, a relação contratual, por mútuo acordo, estando em causa, nesta situação, o direito à Voz de </w:t>
      </w:r>
      <w:r w:rsidR="00AE734F" w:rsidRPr="00B818FE">
        <w:rPr>
          <w:rFonts w:ascii="Arial Narrow" w:hAnsi="Arial Narrow"/>
          <w:b/>
          <w:sz w:val="24"/>
        </w:rPr>
        <w:t>A,</w:t>
      </w:r>
      <w:r w:rsidR="00AE734F">
        <w:rPr>
          <w:rFonts w:ascii="Arial Narrow" w:hAnsi="Arial Narrow"/>
          <w:sz w:val="24"/>
        </w:rPr>
        <w:t xml:space="preserve"> previsto</w:t>
      </w:r>
      <w:r w:rsidR="00E122AA">
        <w:rPr>
          <w:rFonts w:ascii="Arial Narrow" w:hAnsi="Arial Narrow"/>
          <w:sz w:val="24"/>
        </w:rPr>
        <w:t xml:space="preserve"> por analogia, no artigo 79º nº1 CC “ o retrato de uma pessoa não pode ser exposto, reproduzido ou lançado no comércio sem o consentimento dela”, este “retrato” inclui a Voz, pois esta é o ADN social de cada pessoa, é o que nos identifica. </w:t>
      </w:r>
    </w:p>
    <w:p w:rsidR="00AE734F" w:rsidRPr="00702B09" w:rsidRDefault="002F4362" w:rsidP="00F03DD4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</w:r>
      <w:r w:rsidR="00E122AA">
        <w:rPr>
          <w:rFonts w:ascii="Arial Narrow" w:hAnsi="Arial Narrow"/>
          <w:sz w:val="24"/>
        </w:rPr>
        <w:t xml:space="preserve">Estamos perante uma lacuna do Código Civil pois não prevê a </w:t>
      </w:r>
      <w:proofErr w:type="spellStart"/>
      <w:r w:rsidR="00E122AA">
        <w:rPr>
          <w:rFonts w:ascii="Arial Narrow" w:hAnsi="Arial Narrow"/>
          <w:sz w:val="24"/>
        </w:rPr>
        <w:t>protecção</w:t>
      </w:r>
      <w:proofErr w:type="spellEnd"/>
      <w:r w:rsidR="00E122AA">
        <w:rPr>
          <w:rFonts w:ascii="Arial Narrow" w:hAnsi="Arial Narrow"/>
          <w:sz w:val="24"/>
        </w:rPr>
        <w:t xml:space="preserve"> do direito de personalidade da voz, daí existirem várias teses acerca do Direito à Voz. Rita Amaral Cabral e Paulo Cunha defendem que o Direito</w:t>
      </w:r>
      <w:r w:rsidR="00977D1F">
        <w:rPr>
          <w:rFonts w:ascii="Arial Narrow" w:hAnsi="Arial Narrow"/>
          <w:sz w:val="24"/>
        </w:rPr>
        <w:t xml:space="preserve"> à Imagem bem como o Direito à Voz estão abrangidos pelo artigo 80ºCC – Direito à reserva sobre a intimidade da vida privada, juntamente com o artigo 26º nº1 da CRP “ a todos são reconhecidos os direitos à identidade pessoal, ao desenvolvimento da personalidade, à capacidade civil, à cidadania, ao bom nome e reputação, à imagem, à palavra, à reserva da intimidade da vida privada e familiar e à </w:t>
      </w:r>
      <w:proofErr w:type="spellStart"/>
      <w:r w:rsidR="00977D1F">
        <w:rPr>
          <w:rFonts w:ascii="Arial Narrow" w:hAnsi="Arial Narrow"/>
          <w:sz w:val="24"/>
        </w:rPr>
        <w:t>protecção</w:t>
      </w:r>
      <w:proofErr w:type="spellEnd"/>
      <w:r w:rsidR="00977D1F">
        <w:rPr>
          <w:rFonts w:ascii="Arial Narrow" w:hAnsi="Arial Narrow"/>
          <w:sz w:val="24"/>
        </w:rPr>
        <w:t xml:space="preserve"> legal contra quaisquer formas de discriminação”. </w:t>
      </w:r>
    </w:p>
    <w:p w:rsidR="00F03DD4" w:rsidRDefault="002F4362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  <w:t xml:space="preserve">Acontece que neste contrato, </w:t>
      </w:r>
      <w:r w:rsidRPr="00B818FE">
        <w:rPr>
          <w:rFonts w:ascii="Arial Narrow" w:hAnsi="Arial Narrow"/>
          <w:b/>
          <w:sz w:val="24"/>
        </w:rPr>
        <w:t>B</w:t>
      </w:r>
      <w:r>
        <w:rPr>
          <w:rFonts w:ascii="Arial Narrow" w:hAnsi="Arial Narrow"/>
          <w:sz w:val="24"/>
        </w:rPr>
        <w:t xml:space="preserve">, após a data da cessação do contrato, continuou a utilizar e a divulgar publicamente as locuções e gravações de voz </w:t>
      </w:r>
      <w:proofErr w:type="spellStart"/>
      <w:r>
        <w:rPr>
          <w:rFonts w:ascii="Arial Narrow" w:hAnsi="Arial Narrow"/>
          <w:sz w:val="24"/>
        </w:rPr>
        <w:t>efectuadas</w:t>
      </w:r>
      <w:proofErr w:type="spellEnd"/>
      <w:r>
        <w:rPr>
          <w:rFonts w:ascii="Arial Narrow" w:hAnsi="Arial Narrow"/>
          <w:sz w:val="24"/>
        </w:rPr>
        <w:t xml:space="preserve"> por </w:t>
      </w:r>
      <w:r w:rsidRPr="00B818FE">
        <w:rPr>
          <w:rFonts w:ascii="Arial Narrow" w:hAnsi="Arial Narrow"/>
          <w:b/>
          <w:sz w:val="24"/>
        </w:rPr>
        <w:t>A</w:t>
      </w:r>
      <w:r>
        <w:rPr>
          <w:rFonts w:ascii="Arial Narrow" w:hAnsi="Arial Narrow"/>
          <w:sz w:val="24"/>
        </w:rPr>
        <w:t xml:space="preserve">, sem lhe pagar qualquer contrapartida, estando aqui presente um enriquecimento sem causa de natureza subsidiária, consagrado no artigo 473º e </w:t>
      </w:r>
      <w:proofErr w:type="spellStart"/>
      <w:r>
        <w:rPr>
          <w:rFonts w:ascii="Arial Narrow" w:hAnsi="Arial Narrow"/>
          <w:sz w:val="24"/>
        </w:rPr>
        <w:t>ss</w:t>
      </w:r>
      <w:proofErr w:type="spellEnd"/>
      <w:r>
        <w:rPr>
          <w:rFonts w:ascii="Arial Narrow" w:hAnsi="Arial Narrow"/>
          <w:sz w:val="24"/>
        </w:rPr>
        <w:t xml:space="preserve"> do CC. (Artigo 473º nº1 </w:t>
      </w:r>
      <w:proofErr w:type="gramStart"/>
      <w:r>
        <w:rPr>
          <w:rFonts w:ascii="Arial Narrow" w:hAnsi="Arial Narrow"/>
          <w:sz w:val="24"/>
        </w:rPr>
        <w:t>CC–</w:t>
      </w:r>
      <w:proofErr w:type="gramEnd"/>
      <w:r>
        <w:rPr>
          <w:rFonts w:ascii="Arial Narrow" w:hAnsi="Arial Narrow"/>
          <w:sz w:val="24"/>
        </w:rPr>
        <w:t xml:space="preserve"> Aquele que, sem causa justificativa, enriquecer à </w:t>
      </w:r>
      <w:r w:rsidR="00773838">
        <w:rPr>
          <w:rFonts w:ascii="Arial Narrow" w:hAnsi="Arial Narrow"/>
          <w:sz w:val="24"/>
        </w:rPr>
        <w:t>c</w:t>
      </w:r>
      <w:r>
        <w:rPr>
          <w:rFonts w:ascii="Arial Narrow" w:hAnsi="Arial Narrow"/>
          <w:sz w:val="24"/>
        </w:rPr>
        <w:t>usta de outrem é obrigado a restituir aquilo com que injustamente se locupletou”</w:t>
      </w:r>
      <w:r w:rsidR="00773838">
        <w:rPr>
          <w:rFonts w:ascii="Arial Narrow" w:hAnsi="Arial Narrow"/>
          <w:sz w:val="24"/>
        </w:rPr>
        <w:t>.</w:t>
      </w:r>
    </w:p>
    <w:p w:rsidR="00773838" w:rsidRDefault="00773838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</w:r>
      <w:r w:rsidRPr="00B818FE">
        <w:rPr>
          <w:rFonts w:ascii="Arial Narrow" w:hAnsi="Arial Narrow"/>
          <w:b/>
          <w:sz w:val="24"/>
        </w:rPr>
        <w:t>A</w:t>
      </w:r>
      <w:r>
        <w:rPr>
          <w:rFonts w:ascii="Arial Narrow" w:hAnsi="Arial Narrow"/>
          <w:sz w:val="24"/>
        </w:rPr>
        <w:t xml:space="preserve"> </w:t>
      </w:r>
      <w:proofErr w:type="spellStart"/>
      <w:r>
        <w:rPr>
          <w:rFonts w:ascii="Arial Narrow" w:hAnsi="Arial Narrow"/>
          <w:sz w:val="24"/>
        </w:rPr>
        <w:t>a</w:t>
      </w:r>
      <w:proofErr w:type="spellEnd"/>
      <w:r>
        <w:rPr>
          <w:rFonts w:ascii="Arial Narrow" w:hAnsi="Arial Narrow"/>
          <w:sz w:val="24"/>
        </w:rPr>
        <w:t xml:space="preserve"> 22 de Agosto de 2007 enviou uma carta a </w:t>
      </w:r>
      <w:r w:rsidRPr="00B818FE">
        <w:rPr>
          <w:rFonts w:ascii="Arial Narrow" w:hAnsi="Arial Narrow"/>
          <w:b/>
          <w:sz w:val="24"/>
        </w:rPr>
        <w:t>B</w:t>
      </w:r>
      <w:r>
        <w:rPr>
          <w:rFonts w:ascii="Arial Narrow" w:hAnsi="Arial Narrow"/>
          <w:sz w:val="24"/>
        </w:rPr>
        <w:t xml:space="preserve"> a dizer que considerava abusiva a utilização da sua voz após o contrato ter terminado e pretendia que </w:t>
      </w:r>
      <w:r w:rsidRPr="00B818FE">
        <w:rPr>
          <w:rFonts w:ascii="Arial Narrow" w:hAnsi="Arial Narrow"/>
          <w:b/>
          <w:sz w:val="24"/>
        </w:rPr>
        <w:t>B</w:t>
      </w:r>
      <w:r>
        <w:rPr>
          <w:rFonts w:ascii="Arial Narrow" w:hAnsi="Arial Narrow"/>
          <w:sz w:val="24"/>
        </w:rPr>
        <w:t xml:space="preserve">, num prazo máximo de 30 dias, retirasse os registos da sua voz do </w:t>
      </w:r>
      <w:proofErr w:type="spellStart"/>
      <w:r>
        <w:rPr>
          <w:rFonts w:ascii="Arial Narrow" w:hAnsi="Arial Narrow"/>
          <w:i/>
          <w:sz w:val="24"/>
        </w:rPr>
        <w:t>voice</w:t>
      </w:r>
      <w:proofErr w:type="spellEnd"/>
      <w:r>
        <w:rPr>
          <w:rFonts w:ascii="Arial Narrow" w:hAnsi="Arial Narrow"/>
          <w:i/>
          <w:sz w:val="24"/>
        </w:rPr>
        <w:t xml:space="preserve"> </w:t>
      </w:r>
      <w:proofErr w:type="gramStart"/>
      <w:r>
        <w:rPr>
          <w:rFonts w:ascii="Arial Narrow" w:hAnsi="Arial Narrow"/>
          <w:i/>
          <w:sz w:val="24"/>
        </w:rPr>
        <w:t>mail</w:t>
      </w:r>
      <w:proofErr w:type="gramEnd"/>
      <w:r>
        <w:rPr>
          <w:rFonts w:ascii="Arial Narrow" w:hAnsi="Arial Narrow"/>
          <w:sz w:val="24"/>
        </w:rPr>
        <w:t xml:space="preserve"> da rede “BBB”, tendo uma resposta negativa por parte de </w:t>
      </w:r>
      <w:r w:rsidRPr="00B818FE">
        <w:rPr>
          <w:rFonts w:ascii="Arial Narrow" w:hAnsi="Arial Narrow"/>
          <w:b/>
          <w:sz w:val="24"/>
        </w:rPr>
        <w:t>B</w:t>
      </w:r>
      <w:r>
        <w:rPr>
          <w:rFonts w:ascii="Arial Narrow" w:hAnsi="Arial Narrow"/>
          <w:sz w:val="24"/>
        </w:rPr>
        <w:t xml:space="preserve">. </w:t>
      </w:r>
    </w:p>
    <w:p w:rsidR="00773838" w:rsidRDefault="00773838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  <w:t xml:space="preserve">Os argumentos de </w:t>
      </w:r>
      <w:r w:rsidRPr="00B818FE">
        <w:rPr>
          <w:rFonts w:ascii="Arial Narrow" w:hAnsi="Arial Narrow"/>
          <w:b/>
          <w:sz w:val="24"/>
        </w:rPr>
        <w:t>B</w:t>
      </w:r>
      <w:r>
        <w:rPr>
          <w:rFonts w:ascii="Arial Narrow" w:hAnsi="Arial Narrow"/>
          <w:sz w:val="24"/>
        </w:rPr>
        <w:t xml:space="preserve"> prendem-se com o facto de as renovações do contrato terem sido realizadas para permitir novas locuções e gra</w:t>
      </w:r>
      <w:r w:rsidR="0013081D">
        <w:rPr>
          <w:rFonts w:ascii="Arial Narrow" w:hAnsi="Arial Narrow"/>
          <w:sz w:val="24"/>
        </w:rPr>
        <w:t xml:space="preserve">vações e que nos termos deste mesmo contrato resulta claramente que o resultado das prestações de </w:t>
      </w:r>
      <w:r w:rsidR="0013081D" w:rsidRPr="00B818FE">
        <w:rPr>
          <w:rFonts w:ascii="Arial Narrow" w:hAnsi="Arial Narrow"/>
          <w:b/>
          <w:sz w:val="24"/>
        </w:rPr>
        <w:t>A</w:t>
      </w:r>
      <w:r w:rsidR="0013081D">
        <w:rPr>
          <w:rFonts w:ascii="Arial Narrow" w:hAnsi="Arial Narrow"/>
          <w:sz w:val="24"/>
        </w:rPr>
        <w:t xml:space="preserve"> é da exclusiva titularidade de </w:t>
      </w:r>
      <w:r w:rsidR="0013081D" w:rsidRPr="00B818FE">
        <w:rPr>
          <w:rFonts w:ascii="Arial Narrow" w:hAnsi="Arial Narrow"/>
          <w:b/>
          <w:sz w:val="24"/>
        </w:rPr>
        <w:t>B</w:t>
      </w:r>
      <w:r w:rsidR="0013081D">
        <w:rPr>
          <w:rFonts w:ascii="Arial Narrow" w:hAnsi="Arial Narrow"/>
          <w:sz w:val="24"/>
        </w:rPr>
        <w:t xml:space="preserve"> pelo que </w:t>
      </w:r>
      <w:r w:rsidR="0013081D">
        <w:rPr>
          <w:rFonts w:ascii="Arial Narrow" w:hAnsi="Arial Narrow"/>
          <w:sz w:val="24"/>
        </w:rPr>
        <w:lastRenderedPageBreak/>
        <w:t xml:space="preserve">a utilização das gravações </w:t>
      </w:r>
      <w:proofErr w:type="spellStart"/>
      <w:r w:rsidR="0013081D">
        <w:rPr>
          <w:rFonts w:ascii="Arial Narrow" w:hAnsi="Arial Narrow"/>
          <w:sz w:val="24"/>
        </w:rPr>
        <w:t>efectuadas</w:t>
      </w:r>
      <w:proofErr w:type="spellEnd"/>
      <w:r w:rsidR="0013081D">
        <w:rPr>
          <w:rFonts w:ascii="Arial Narrow" w:hAnsi="Arial Narrow"/>
          <w:sz w:val="24"/>
        </w:rPr>
        <w:t xml:space="preserve"> é absolutamente legítima, não havendo lugar a qualquer enriquecimento ilícito, nem ao pagamento de qualquer indemnização, argumento este que o Tribunal da Relação de Lisboa nega.</w:t>
      </w:r>
    </w:p>
    <w:p w:rsidR="0013081D" w:rsidRDefault="0013081D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  <w:t xml:space="preserve">Assim, concordo com a decisão do TRL ao condenar </w:t>
      </w:r>
      <w:r w:rsidRPr="00B818FE">
        <w:rPr>
          <w:rFonts w:ascii="Arial Narrow" w:hAnsi="Arial Narrow"/>
          <w:b/>
          <w:sz w:val="24"/>
        </w:rPr>
        <w:t>B</w:t>
      </w:r>
      <w:r>
        <w:rPr>
          <w:rFonts w:ascii="Arial Narrow" w:hAnsi="Arial Narrow"/>
          <w:sz w:val="24"/>
        </w:rPr>
        <w:t xml:space="preserve"> a retirar do </w:t>
      </w:r>
      <w:proofErr w:type="spellStart"/>
      <w:r>
        <w:rPr>
          <w:rFonts w:ascii="Arial Narrow" w:hAnsi="Arial Narrow"/>
          <w:i/>
          <w:sz w:val="24"/>
        </w:rPr>
        <w:t>voice</w:t>
      </w:r>
      <w:proofErr w:type="spellEnd"/>
      <w:r>
        <w:rPr>
          <w:rFonts w:ascii="Arial Narrow" w:hAnsi="Arial Narrow"/>
          <w:i/>
          <w:sz w:val="24"/>
        </w:rPr>
        <w:t xml:space="preserve"> </w:t>
      </w:r>
      <w:proofErr w:type="gramStart"/>
      <w:r>
        <w:rPr>
          <w:rFonts w:ascii="Arial Narrow" w:hAnsi="Arial Narrow"/>
          <w:i/>
          <w:sz w:val="24"/>
        </w:rPr>
        <w:t>mail</w:t>
      </w:r>
      <w:proofErr w:type="gramEnd"/>
      <w:r>
        <w:rPr>
          <w:rFonts w:ascii="Arial Narrow" w:hAnsi="Arial Narrow"/>
          <w:i/>
          <w:sz w:val="24"/>
        </w:rPr>
        <w:t xml:space="preserve"> </w:t>
      </w:r>
      <w:r>
        <w:rPr>
          <w:rFonts w:ascii="Arial Narrow" w:hAnsi="Arial Narrow"/>
          <w:sz w:val="24"/>
        </w:rPr>
        <w:t xml:space="preserve">da rede “BBB” quaisquer gravações e locuções contendo registos de voz da autora, bem como a não utilizar, reproduzir ou divulgar as gravações e locuções contendo registos de voz da autora, seja qual for o suporte, meio ou fim em causa; pagar a </w:t>
      </w:r>
      <w:proofErr w:type="spellStart"/>
      <w:r w:rsidRPr="00B818FE">
        <w:rPr>
          <w:rFonts w:ascii="Arial Narrow" w:hAnsi="Arial Narrow"/>
          <w:b/>
          <w:sz w:val="24"/>
        </w:rPr>
        <w:t>A</w:t>
      </w:r>
      <w:proofErr w:type="spellEnd"/>
      <w:r>
        <w:rPr>
          <w:rFonts w:ascii="Arial Narrow" w:hAnsi="Arial Narrow"/>
          <w:sz w:val="24"/>
        </w:rPr>
        <w:t xml:space="preserve"> 8.113,80€ por cada ano a contar de 5 de Setembro de 2005</w:t>
      </w:r>
      <w:r w:rsidR="0001345E">
        <w:rPr>
          <w:rFonts w:ascii="Arial Narrow" w:hAnsi="Arial Narrow"/>
          <w:sz w:val="24"/>
        </w:rPr>
        <w:t xml:space="preserve"> e o proporcional por ano incompleto acrescidos dos juros anuais de 4% vencidos a partir de 21 de Abril de 2009 e ainda pagar-lhe uma sanção pecuniária compulsória, de 11€ por dia, por cada dia de atraso no cumprimento da condenação destinados em partes iguais a </w:t>
      </w:r>
      <w:proofErr w:type="spellStart"/>
      <w:r w:rsidR="0001345E" w:rsidRPr="00B818FE">
        <w:rPr>
          <w:rFonts w:ascii="Arial Narrow" w:hAnsi="Arial Narrow"/>
          <w:b/>
          <w:sz w:val="24"/>
        </w:rPr>
        <w:t>A</w:t>
      </w:r>
      <w:proofErr w:type="spellEnd"/>
      <w:r w:rsidR="0001345E">
        <w:rPr>
          <w:rFonts w:ascii="Arial Narrow" w:hAnsi="Arial Narrow"/>
          <w:sz w:val="24"/>
        </w:rPr>
        <w:t xml:space="preserve"> e ao Estado.</w:t>
      </w:r>
    </w:p>
    <w:p w:rsidR="0001345E" w:rsidRDefault="0001345E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  <w:t>No entanto, na construção da sentença quando afirmam “que o direito à voz integra o núcleo do direito geral da personalidade que tem acolhimento no artigo 70ºCC e artigo 26º nº1 da CRP</w:t>
      </w:r>
      <w:r w:rsidR="00B818FE">
        <w:rPr>
          <w:rFonts w:ascii="Arial Narrow" w:hAnsi="Arial Narrow"/>
          <w:sz w:val="24"/>
        </w:rPr>
        <w:t>”, na minha opinião, poderiam ter consagrado o direito à voz no Artigo 79º relativo ao Direito à Imagem.</w:t>
      </w:r>
    </w:p>
    <w:p w:rsidR="00B818FE" w:rsidRDefault="00B818FE">
      <w:pPr>
        <w:spacing w:after="0" w:line="360" w:lineRule="auto"/>
        <w:jc w:val="both"/>
        <w:rPr>
          <w:rFonts w:ascii="Arial Narrow" w:hAnsi="Arial Narrow"/>
          <w:sz w:val="24"/>
        </w:rPr>
      </w:pPr>
    </w:p>
    <w:p w:rsidR="00B818FE" w:rsidRDefault="00B818FE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</w:r>
    </w:p>
    <w:p w:rsidR="00B818FE" w:rsidRPr="0013081D" w:rsidRDefault="00B818FE">
      <w:pPr>
        <w:spacing w:after="0" w:line="360" w:lineRule="auto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</w:r>
      <w:r>
        <w:rPr>
          <w:rFonts w:ascii="Arial Narrow" w:hAnsi="Arial Narrow"/>
          <w:sz w:val="24"/>
        </w:rPr>
        <w:tab/>
      </w:r>
      <w:r>
        <w:rPr>
          <w:rFonts w:ascii="Arial Narrow" w:hAnsi="Arial Narrow"/>
          <w:sz w:val="24"/>
        </w:rPr>
        <w:tab/>
      </w:r>
      <w:r>
        <w:rPr>
          <w:rFonts w:ascii="Arial Narrow" w:hAnsi="Arial Narrow"/>
          <w:sz w:val="24"/>
        </w:rPr>
        <w:tab/>
      </w:r>
      <w:r>
        <w:rPr>
          <w:rFonts w:ascii="Arial Narrow" w:hAnsi="Arial Narrow"/>
          <w:sz w:val="24"/>
        </w:rPr>
        <w:tab/>
        <w:t xml:space="preserve">Jéssica Lopes nº23733, </w:t>
      </w:r>
      <w:proofErr w:type="spellStart"/>
      <w:r>
        <w:rPr>
          <w:rFonts w:ascii="Arial Narrow" w:hAnsi="Arial Narrow"/>
          <w:sz w:val="24"/>
        </w:rPr>
        <w:t>sub-turma</w:t>
      </w:r>
      <w:proofErr w:type="spellEnd"/>
      <w:r>
        <w:rPr>
          <w:rFonts w:ascii="Arial Narrow" w:hAnsi="Arial Narrow"/>
          <w:sz w:val="24"/>
        </w:rPr>
        <w:t xml:space="preserve"> 8, turno Noite</w:t>
      </w:r>
    </w:p>
    <w:sectPr w:rsidR="00B818FE" w:rsidRPr="0013081D" w:rsidSect="006508FC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423B" w:rsidRDefault="009F423B" w:rsidP="00AC1B71">
      <w:pPr>
        <w:spacing w:after="0" w:line="240" w:lineRule="auto"/>
      </w:pPr>
      <w:r>
        <w:separator/>
      </w:r>
    </w:p>
  </w:endnote>
  <w:endnote w:type="continuationSeparator" w:id="0">
    <w:p w:rsidR="009F423B" w:rsidRDefault="009F423B" w:rsidP="00AC1B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6160463"/>
      <w:docPartObj>
        <w:docPartGallery w:val="Page Numbers (Bottom of Page)"/>
        <w:docPartUnique/>
      </w:docPartObj>
    </w:sdtPr>
    <w:sdtContent>
      <w:p w:rsidR="00AC1B71" w:rsidRDefault="00904815">
        <w:pPr>
          <w:pStyle w:val="Rodap"/>
        </w:pPr>
        <w:r>
          <w:rPr>
            <w:noProof/>
            <w:lang w:eastAsia="zh-TW"/>
          </w:rPr>
          <w:pict>
            <v:shapetype id="_x0000_t185" coordsize="21600,21600" o:spt="185" adj="3600" path="m@0,nfqx0@0l0@2qy@0,21600em@1,nfqx21600@0l21600@2qy@1,21600em@0,nsqx0@0l0@2qy@0,21600l@1,21600qx21600@2l21600@0qy@1,xe" filled="f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o:extrusionok="f" gradientshapeok="t" limo="10800,10800" o:connecttype="custom" o:connectlocs="@8,0;0,@9;@8,@7;@6,@9" textboxrect="@3,@3,@4,@5"/>
              <v:handles>
                <v:h position="#0,topLeft" switch="" xrange="0,10800"/>
              </v:handles>
            </v:shapetype>
            <v:shape id="_x0000_s2050" type="#_x0000_t185" style="position:absolute;margin-left:0;margin-top:0;width:44.45pt;height:18.8pt;z-index:251661312;mso-width-percent:100;mso-position-horizontal:center;mso-position-horizontal-relative:margin;mso-position-vertical:center;mso-position-vertical-relative:bottom-margin-area;mso-width-percent:100;mso-width-relative:margin;mso-height-relative:bottom-margin-area" filled="t" fillcolor="white [3212]" strokecolor="gray [1629]" strokeweight="2.25pt">
              <v:textbox inset=",0,,0">
                <w:txbxContent>
                  <w:p w:rsidR="00AC1B71" w:rsidRDefault="00904815">
                    <w:pPr>
                      <w:jc w:val="center"/>
                    </w:pPr>
                    <w:fldSimple w:instr=" PAGE    \* MERGEFORMAT ">
                      <w:r w:rsidR="00B818FE">
                        <w:rPr>
                          <w:noProof/>
                        </w:rPr>
                        <w:t>3</w:t>
                      </w:r>
                    </w:fldSimple>
                  </w:p>
                </w:txbxContent>
              </v:textbox>
              <w10:wrap anchorx="margin" anchory="page"/>
            </v:shape>
          </w:pict>
        </w:r>
        <w:r>
          <w:rPr>
            <w:noProof/>
            <w:lang w:eastAsia="zh-TW"/>
          </w:rPr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2049" type="#_x0000_t32" style="position:absolute;margin-left:0;margin-top:0;width:434.5pt;height:0;z-index:251660288;mso-position-horizontal:center;mso-position-horizontal-relative:margin;mso-position-vertical:center;mso-position-vertical-relative:bottom-margin-area;mso-height-relative:bottom-margin-area;v-text-anchor:middle" o:connectortype="straight" strokecolor="gray [1629]" strokeweight="1pt">
              <w10:wrap anchorx="margin" anchory="page"/>
            </v:shape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423B" w:rsidRDefault="009F423B" w:rsidP="00AC1B71">
      <w:pPr>
        <w:spacing w:after="0" w:line="240" w:lineRule="auto"/>
      </w:pPr>
      <w:r>
        <w:separator/>
      </w:r>
    </w:p>
  </w:footnote>
  <w:footnote w:type="continuationSeparator" w:id="0">
    <w:p w:rsidR="009F423B" w:rsidRDefault="009F423B" w:rsidP="00AC1B71">
      <w:pPr>
        <w:spacing w:after="0" w:line="240" w:lineRule="auto"/>
      </w:pPr>
      <w:r>
        <w:continuationSeparator/>
      </w:r>
    </w:p>
  </w:footnote>
  <w:footnote w:id="1">
    <w:p w:rsidR="009B54AE" w:rsidRDefault="009B54AE">
      <w:pPr>
        <w:pStyle w:val="Textodenotaderodap"/>
      </w:pPr>
      <w:r>
        <w:rPr>
          <w:rStyle w:val="Refdenotaderodap"/>
        </w:rPr>
        <w:footnoteRef/>
      </w:r>
      <w:r>
        <w:t xml:space="preserve">  </w:t>
      </w:r>
      <w:r w:rsidR="00D72DCD">
        <w:t>Pinto, Carlos Alberto da Mota, “Teoria Geral do Direito Civil”, 4ª Edição, Coimbra 2005, p.100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acomgrelha"/>
      <w:tblW w:w="5000" w:type="pct"/>
      <w:tblInd w:w="11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/>
    </w:tblPr>
    <w:tblGrid>
      <w:gridCol w:w="7568"/>
      <w:gridCol w:w="1152"/>
    </w:tblGrid>
    <w:tr w:rsidR="00AC1B71">
      <w:tc>
        <w:tcPr>
          <w:tcW w:w="0" w:type="auto"/>
          <w:tcBorders>
            <w:right w:val="single" w:sz="6" w:space="0" w:color="000000" w:themeColor="text1"/>
          </w:tcBorders>
        </w:tcPr>
        <w:sdt>
          <w:sdtPr>
            <w:rPr>
              <w:rFonts w:ascii="Arial Narrow" w:hAnsi="Arial Narrow"/>
            </w:rPr>
            <w:alias w:val="Empresa"/>
            <w:id w:val="78735422"/>
            <w:placeholder>
              <w:docPart w:val="E4502C9325F147ABBB36856307E44F98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:rsidR="00AC1B71" w:rsidRPr="00AC1B71" w:rsidRDefault="00AC1B71">
              <w:pPr>
                <w:pStyle w:val="Cabealho"/>
                <w:jc w:val="right"/>
                <w:rPr>
                  <w:rFonts w:ascii="Arial Narrow" w:hAnsi="Arial Narrow"/>
                </w:rPr>
              </w:pPr>
              <w:r w:rsidRPr="00AC1B71">
                <w:rPr>
                  <w:rFonts w:ascii="Arial Narrow" w:hAnsi="Arial Narrow"/>
                </w:rPr>
                <w:t>Faculdade de Direito da Universidade de Lisboa</w:t>
              </w:r>
            </w:p>
          </w:sdtContent>
        </w:sdt>
        <w:sdt>
          <w:sdtPr>
            <w:rPr>
              <w:rFonts w:ascii="Arial Narrow" w:hAnsi="Arial Narrow"/>
              <w:b/>
              <w:bCs/>
            </w:rPr>
            <w:alias w:val="Título"/>
            <w:id w:val="78735415"/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AC1B71" w:rsidRDefault="00AC1B71" w:rsidP="00AC1B71">
              <w:pPr>
                <w:pStyle w:val="Cabealho"/>
                <w:jc w:val="right"/>
                <w:rPr>
                  <w:b/>
                  <w:bCs/>
                </w:rPr>
              </w:pPr>
              <w:r w:rsidRPr="00AC1B71">
                <w:rPr>
                  <w:rFonts w:ascii="Arial Narrow" w:hAnsi="Arial Narrow"/>
                  <w:b/>
                  <w:bCs/>
                </w:rPr>
                <w:t>Teoria Geral do Direito Civil II</w:t>
              </w:r>
            </w:p>
          </w:sdtContent>
        </w:sdt>
      </w:tc>
      <w:tc>
        <w:tcPr>
          <w:tcW w:w="1152" w:type="dxa"/>
          <w:tcBorders>
            <w:left w:val="single" w:sz="6" w:space="0" w:color="000000" w:themeColor="text1"/>
          </w:tcBorders>
        </w:tcPr>
        <w:p w:rsidR="00AC1B71" w:rsidRDefault="00904815">
          <w:pPr>
            <w:pStyle w:val="Cabealho"/>
            <w:rPr>
              <w:b/>
            </w:rPr>
          </w:pPr>
          <w:fldSimple w:instr=" PAGE   \* MERGEFORMAT ">
            <w:r w:rsidR="00B818FE">
              <w:rPr>
                <w:noProof/>
              </w:rPr>
              <w:t>3</w:t>
            </w:r>
          </w:fldSimple>
        </w:p>
      </w:tc>
    </w:tr>
  </w:tbl>
  <w:p w:rsidR="00AC1B71" w:rsidRDefault="00AC1B71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5122"/>
    <o:shapelayout v:ext="edit">
      <o:idmap v:ext="edit" data="2"/>
      <o:rules v:ext="edit">
        <o:r id="V:Rule2" type="connector" idref="#_x0000_s2049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AC1B71"/>
    <w:rsid w:val="0001345E"/>
    <w:rsid w:val="000467A2"/>
    <w:rsid w:val="000513C7"/>
    <w:rsid w:val="0013081D"/>
    <w:rsid w:val="0017183C"/>
    <w:rsid w:val="002F4362"/>
    <w:rsid w:val="0041037D"/>
    <w:rsid w:val="0046046C"/>
    <w:rsid w:val="006508FC"/>
    <w:rsid w:val="006865B8"/>
    <w:rsid w:val="00702B09"/>
    <w:rsid w:val="00773838"/>
    <w:rsid w:val="00904815"/>
    <w:rsid w:val="00977D1F"/>
    <w:rsid w:val="009B54AE"/>
    <w:rsid w:val="009F423B"/>
    <w:rsid w:val="00AC1B71"/>
    <w:rsid w:val="00AE734F"/>
    <w:rsid w:val="00B818FE"/>
    <w:rsid w:val="00CE38FD"/>
    <w:rsid w:val="00D72DCD"/>
    <w:rsid w:val="00DF7217"/>
    <w:rsid w:val="00E122AA"/>
    <w:rsid w:val="00F03DD4"/>
    <w:rsid w:val="00F043E1"/>
    <w:rsid w:val="00FB71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8FC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AC1B7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AC1B71"/>
  </w:style>
  <w:style w:type="paragraph" w:styleId="Rodap">
    <w:name w:val="footer"/>
    <w:basedOn w:val="Normal"/>
    <w:link w:val="RodapCarcter"/>
    <w:uiPriority w:val="99"/>
    <w:semiHidden/>
    <w:unhideWhenUsed/>
    <w:rsid w:val="00AC1B7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semiHidden/>
    <w:rsid w:val="00AC1B71"/>
  </w:style>
  <w:style w:type="table" w:styleId="Tabelacomgrelha">
    <w:name w:val="Table Grid"/>
    <w:basedOn w:val="Tabelanormal"/>
    <w:uiPriority w:val="1"/>
    <w:rsid w:val="00AC1B71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arcter"/>
    <w:uiPriority w:val="99"/>
    <w:semiHidden/>
    <w:unhideWhenUsed/>
    <w:rsid w:val="00AC1B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AC1B71"/>
    <w:rPr>
      <w:rFonts w:ascii="Tahoma" w:hAnsi="Tahoma" w:cs="Tahoma"/>
      <w:sz w:val="16"/>
      <w:szCs w:val="16"/>
    </w:rPr>
  </w:style>
  <w:style w:type="paragraph" w:styleId="Textodenotaderodap">
    <w:name w:val="footnote text"/>
    <w:basedOn w:val="Normal"/>
    <w:link w:val="TextodenotaderodapCarcter"/>
    <w:uiPriority w:val="99"/>
    <w:semiHidden/>
    <w:unhideWhenUsed/>
    <w:rsid w:val="009B54AE"/>
    <w:pPr>
      <w:spacing w:after="0" w:line="240" w:lineRule="auto"/>
    </w:pPr>
    <w:rPr>
      <w:sz w:val="20"/>
      <w:szCs w:val="20"/>
    </w:rPr>
  </w:style>
  <w:style w:type="character" w:customStyle="1" w:styleId="TextodenotaderodapCarcter">
    <w:name w:val="Texto de nota de rodapé Carácter"/>
    <w:basedOn w:val="Tipodeletrapredefinidodopargrafo"/>
    <w:link w:val="Textodenotaderodap"/>
    <w:uiPriority w:val="99"/>
    <w:semiHidden/>
    <w:rsid w:val="009B54AE"/>
    <w:rPr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9B54AE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D826D6"/>
    <w:rsid w:val="00402B56"/>
    <w:rsid w:val="00D826D6"/>
    <w:rsid w:val="00E97A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B56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4502C9325F147ABBB36856307E44F98">
    <w:name w:val="E4502C9325F147ABBB36856307E44F98"/>
    <w:rsid w:val="00D826D6"/>
  </w:style>
  <w:style w:type="paragraph" w:customStyle="1" w:styleId="B6F1AC5F4DE14EA3AAF5A1D339C91359">
    <w:name w:val="B6F1AC5F4DE14EA3AAF5A1D339C91359"/>
    <w:rsid w:val="00D826D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>
  <b:Source>
    <b:Tag>Pin05</b:Tag>
    <b:SourceType>Book</b:SourceType>
    <b:Guid>{04B9CBFC-3865-41FF-9707-817F56ED02DA}</b:Guid>
    <b:LCID>0</b:LCID>
    <b:Author>
      <b:Author>
        <b:NameList>
          <b:Person>
            <b:Last>da Mota Pinto</b:Last>
            <b:First>Carlos</b:First>
            <b:Middle>Alberto</b:Middle>
          </b:Person>
        </b:NameList>
      </b:Author>
    </b:Author>
    <b:Title>Teoria Geral do Direito Civil</b:Title>
    <b:Year>2005</b:Year>
    <b:City>Coimbra</b:City>
    <b:Publisher>Coimbra Editora</b:Publisher>
    <b:Pages>100 e 101</b:Pages>
    <b:Edition>4ªEdição</b:Edition>
    <b:RefOrder>1</b:RefOrder>
  </b:Source>
</b:Sources>
</file>

<file path=customXml/itemProps1.xml><?xml version="1.0" encoding="utf-8"?>
<ds:datastoreItem xmlns:ds="http://schemas.openxmlformats.org/officeDocument/2006/customXml" ds:itemID="{C175CF4C-59C7-412F-9970-B0D225FA9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993</Words>
  <Characters>5364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Teoria Geral do Direito Civil II</vt:lpstr>
    </vt:vector>
  </TitlesOfParts>
  <Company>Faculdade de Direito da Universidade de Lisboa</Company>
  <LinksUpToDate>false</LinksUpToDate>
  <CharactersWithSpaces>6345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Teoria Geral do Direito Civil II</dc:title>
  <dc:creator>Jessica</dc:creator>
  <cp:lastModifiedBy>Jessica</cp:lastModifiedBy>
  <cp:revision>4</cp:revision>
  <dcterms:created xsi:type="dcterms:W3CDTF">2013-04-14T14:14:00Z</dcterms:created>
  <dcterms:modified xsi:type="dcterms:W3CDTF">2013-04-14T18:12:00Z</dcterms:modified>
</cp:coreProperties>
</file>