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D" w:rsidRDefault="006273C5">
      <w:pPr>
        <w:pStyle w:val="Ttulo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EA2F5D" w:rsidRDefault="006273C5">
      <w:pPr>
        <w:pStyle w:val="Ttulo1"/>
        <w:spacing w:before="0" w:after="0" w:line="24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(Práticas)</w:t>
      </w:r>
    </w:p>
    <w:p w:rsidR="00EA2F5D" w:rsidRDefault="00EA2F5D">
      <w:pPr>
        <w:pStyle w:val="Ttulo3"/>
        <w:spacing w:before="0" w:after="0"/>
        <w:rPr>
          <w:color w:val="000000"/>
          <w:highlight w:val="yellow"/>
        </w:rPr>
      </w:pPr>
    </w:p>
    <w:p w:rsidR="00EA2F5D" w:rsidRDefault="00EA2F5D">
      <w:pPr>
        <w:rPr>
          <w:highlight w:val="yellow"/>
        </w:rPr>
      </w:pPr>
    </w:p>
    <w:p w:rsidR="00EA2F5D" w:rsidRDefault="006273C5">
      <w:pPr>
        <w:pStyle w:val="Ttulo3"/>
        <w:spacing w:before="0" w:after="0"/>
        <w:rPr>
          <w:color w:val="000000"/>
          <w:highlight w:val="red"/>
        </w:rPr>
      </w:pPr>
      <w:r>
        <w:rPr>
          <w:color w:val="000000"/>
          <w:highlight w:val="red"/>
        </w:rPr>
        <w:t>Aula 1 (24/02/12)</w:t>
      </w: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Coisa deve ter as seguintes características:</w:t>
      </w:r>
    </w:p>
    <w:p w:rsidR="00EA2F5D" w:rsidRDefault="006273C5">
      <w:pPr>
        <w:pStyle w:val="PargrafodaLista"/>
        <w:numPr>
          <w:ilvl w:val="0"/>
          <w:numId w:val="2"/>
        </w:numPr>
        <w:jc w:val="both"/>
        <w:rPr>
          <w:b/>
        </w:rPr>
      </w:pPr>
      <w:r>
        <w:t>Utilidade;</w:t>
      </w:r>
    </w:p>
    <w:p w:rsidR="00EA2F5D" w:rsidRDefault="006273C5">
      <w:pPr>
        <w:pStyle w:val="PargrafodaLista"/>
        <w:numPr>
          <w:ilvl w:val="0"/>
          <w:numId w:val="2"/>
        </w:numPr>
        <w:jc w:val="both"/>
        <w:rPr>
          <w:b/>
        </w:rPr>
      </w:pPr>
      <w:r>
        <w:t>Exterioridade - opõe-se à pessoa (</w:t>
      </w:r>
      <w:r>
        <w:rPr>
          <w:u w:val="single"/>
        </w:rPr>
        <w:t>Professor Oliveira Ascensão:</w:t>
      </w:r>
      <w:r>
        <w:t xml:space="preserve"> "independente do Homem na sua essência");</w:t>
      </w:r>
    </w:p>
    <w:p w:rsidR="00EA2F5D" w:rsidRDefault="006273C5">
      <w:pPr>
        <w:pStyle w:val="PargrafodaLista"/>
        <w:numPr>
          <w:ilvl w:val="0"/>
          <w:numId w:val="2"/>
        </w:numPr>
        <w:jc w:val="both"/>
        <w:rPr>
          <w:b/>
        </w:rPr>
      </w:pPr>
      <w:r>
        <w:t>Autonomia/Individualidade - ligação funcional para satisfação da necessidade;</w:t>
      </w:r>
    </w:p>
    <w:p w:rsidR="00EA2F5D" w:rsidRDefault="006273C5">
      <w:pPr>
        <w:pStyle w:val="PargrafodaLista"/>
        <w:numPr>
          <w:ilvl w:val="0"/>
          <w:numId w:val="2"/>
        </w:numPr>
        <w:jc w:val="both"/>
        <w:rPr>
          <w:b/>
        </w:rPr>
      </w:pPr>
      <w:r>
        <w:t>Susceptibilidade de apropriação;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</w:pPr>
      <w:r>
        <w:rPr>
          <w:b/>
        </w:rPr>
        <w:t xml:space="preserve">Nota: </w:t>
      </w:r>
      <w:r>
        <w:t xml:space="preserve">O Professor Castro Mendes diz que apesar da noção de coisa (202.º) ser ampla esta deve ser limitada por uma classificação posterior (203.º e seguintes). </w:t>
      </w:r>
    </w:p>
    <w:p w:rsidR="00EA2F5D" w:rsidRDefault="00EA2F5D">
      <w:pPr>
        <w:jc w:val="both"/>
      </w:pPr>
    </w:p>
    <w:p w:rsidR="00EA2F5D" w:rsidRDefault="00EA2F5D">
      <w:pPr>
        <w:jc w:val="both"/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2 (27/02/12)</w:t>
      </w:r>
    </w:p>
    <w:p w:rsidR="00EA2F5D" w:rsidRDefault="006273C5">
      <w:pPr>
        <w:jc w:val="both"/>
        <w:rPr>
          <w:u w:val="single"/>
        </w:rPr>
      </w:pPr>
      <w:r>
        <w:rPr>
          <w:b/>
          <w:u w:val="single"/>
        </w:rPr>
        <w:t>Coisa futura vs. Condição suspensiva</w:t>
      </w:r>
      <w:r>
        <w:rPr>
          <w:u w:val="single"/>
        </w:rPr>
        <w:t xml:space="preserve"> </w:t>
      </w:r>
    </w:p>
    <w:p w:rsidR="00EA2F5D" w:rsidRDefault="006273C5">
      <w:pPr>
        <w:jc w:val="both"/>
      </w:pPr>
      <w:r>
        <w:t>No negócio sobre uma coisa futura todos os efeitos produzem-se no momento excepto a transmissão da propriedade. No caso da condição suspensiva, estabelece-se uma cláusula em que os efeitos ficam dependentes da verificação de um facto futuro e incerto.</w:t>
      </w:r>
    </w:p>
    <w:p w:rsidR="00EA2F5D" w:rsidRDefault="006273C5">
      <w:pPr>
        <w:jc w:val="both"/>
        <w:rPr>
          <w:u w:val="single"/>
        </w:rPr>
      </w:pPr>
      <w:r>
        <w:rPr>
          <w:b/>
          <w:u w:val="single"/>
        </w:rPr>
        <w:t>Coisas acessórias funcionais:</w:t>
      </w:r>
      <w:r>
        <w:rPr>
          <w:u w:val="single"/>
        </w:rPr>
        <w:t xml:space="preserve"> </w:t>
      </w:r>
    </w:p>
    <w:p w:rsidR="00EA2F5D" w:rsidRDefault="006273C5">
      <w:pPr>
        <w:jc w:val="both"/>
      </w:pPr>
      <w:r>
        <w:t>Aquelas que sendo coisas acessórias são fundamentais à coisa principal, vg carregador do telemóvel, pneu sobresselente...</w:t>
      </w:r>
    </w:p>
    <w:p w:rsidR="00EA2F5D" w:rsidRDefault="006273C5">
      <w:pPr>
        <w:jc w:val="both"/>
        <w:rPr>
          <w:b/>
        </w:rPr>
      </w:pPr>
      <w:r>
        <w:rPr>
          <w:b/>
        </w:rPr>
        <w:t>Nota:</w:t>
      </w:r>
    </w:p>
    <w:p w:rsidR="00EA2F5D" w:rsidRDefault="006273C5">
      <w:pPr>
        <w:pStyle w:val="PargrafodaLista"/>
        <w:numPr>
          <w:ilvl w:val="0"/>
          <w:numId w:val="5"/>
        </w:numPr>
        <w:jc w:val="both"/>
      </w:pPr>
      <w:r>
        <w:rPr>
          <w:u w:val="single"/>
        </w:rPr>
        <w:t>Professor Menezes Cordeiro:</w:t>
      </w:r>
      <w:r>
        <w:t xml:space="preserve"> As coisas acessórias funcionais devem ser integradas no negócio sobre a coisa principal, a interpretação da declaração negocial deve ser feita nesse sentido;</w:t>
      </w:r>
    </w:p>
    <w:p w:rsidR="00EA2F5D" w:rsidRDefault="006273C5">
      <w:pPr>
        <w:pStyle w:val="PargrafodaLista"/>
        <w:numPr>
          <w:ilvl w:val="0"/>
          <w:numId w:val="5"/>
        </w:numPr>
        <w:jc w:val="both"/>
      </w:pPr>
      <w:r>
        <w:rPr>
          <w:u w:val="single"/>
        </w:rPr>
        <w:t>Professor Oliveira Ascensão:</w:t>
      </w:r>
      <w:r>
        <w:t xml:space="preserve"> É um costume que as coisas acessórias funcionais sem integradas no negócio sobre a coisa principal;</w:t>
      </w:r>
    </w:p>
    <w:p w:rsidR="00EA2F5D" w:rsidRDefault="006273C5">
      <w:pPr>
        <w:pStyle w:val="PargrafodaLista"/>
        <w:numPr>
          <w:ilvl w:val="0"/>
          <w:numId w:val="5"/>
        </w:numPr>
        <w:jc w:val="both"/>
      </w:pPr>
      <w:r>
        <w:rPr>
          <w:u w:val="single"/>
        </w:rPr>
        <w:t>Professor Palma Ramalho:</w:t>
      </w:r>
      <w:r>
        <w:t xml:space="preserve"> As coisas acessórias funcionais devem ser vistas como sendo partes integrantes e logo incluídas no negócio da coisa principal.</w:t>
      </w:r>
    </w:p>
    <w:p w:rsidR="00EA2F5D" w:rsidRDefault="00EA2F5D">
      <w:pPr>
        <w:jc w:val="both"/>
      </w:pPr>
    </w:p>
    <w:p w:rsidR="00EA2F5D" w:rsidRDefault="00EA2F5D">
      <w:pPr>
        <w:jc w:val="both"/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3 (02/03/12)</w:t>
      </w:r>
    </w:p>
    <w:p w:rsidR="00EA2F5D" w:rsidRDefault="006273C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Estudar classificações do negócio jurídico para a próxima aula.</w:t>
      </w:r>
    </w:p>
    <w:p w:rsidR="00EA2F5D" w:rsidRDefault="00EA2F5D">
      <w:pPr>
        <w:rPr>
          <w:smallCaps/>
        </w:rPr>
      </w:pPr>
    </w:p>
    <w:p w:rsidR="00EA2F5D" w:rsidRDefault="006273C5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Facto Jurídico - Classificações</w:t>
      </w:r>
    </w:p>
    <w:p w:rsidR="00EA2F5D" w:rsidRDefault="00EA2F5D">
      <w:pPr>
        <w:jc w:val="center"/>
        <w:rPr>
          <w:b/>
          <w:sz w:val="28"/>
          <w:u w:val="single"/>
        </w:rPr>
      </w:pPr>
    </w:p>
    <w:p w:rsidR="00EA2F5D" w:rsidRDefault="00A4636B">
      <w:pPr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2.7pt;margin-top:18.45pt;width:141.2pt;height:25.55pt;z-index:25166131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Facto Jurídico </w:t>
                  </w:r>
                  <w:r>
                    <w:rPr>
                      <w:b/>
                      <w:i/>
                    </w:rPr>
                    <w:t>Strictu Sensu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77.7pt;margin-top:1.95pt;width:23.25pt;height:185.25pt;z-index:251667456" strokeweight="3pt">
            <w10:wrap anchorx="page" anchory="page"/>
          </v:shape>
        </w:pict>
      </w:r>
    </w:p>
    <w:p w:rsidR="00EA2F5D" w:rsidRDefault="00EA2F5D">
      <w:pPr>
        <w:jc w:val="center"/>
        <w:rPr>
          <w:b/>
          <w:sz w:val="28"/>
          <w:u w:val="single"/>
        </w:rPr>
      </w:pP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26" type="#_x0000_t202" style="position:absolute;left:0;text-align:left;margin-left:-5.4pt;margin-top:22.35pt;width:84.35pt;height:54.6pt;z-index:251660288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Facto Jurídico</w:t>
                  </w:r>
                </w:p>
                <w:p w:rsidR="00EA2F5D" w:rsidRDefault="006273C5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Classificações</w:t>
                  </w:r>
                </w:p>
              </w:txbxContent>
            </v:textbox>
            <w10:wrap anchorx="page" anchory="page"/>
          </v:shape>
        </w:pict>
      </w:r>
    </w:p>
    <w:p w:rsidR="00EA2F5D" w:rsidRDefault="00EA2F5D">
      <w:pPr>
        <w:jc w:val="center"/>
        <w:rPr>
          <w:b/>
          <w:sz w:val="28"/>
          <w:u w:val="single"/>
        </w:rPr>
      </w:pP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32" type="#_x0000_t202" style="position:absolute;left:0;text-align:left;margin-left:322.65pt;margin-top:13.45pt;width:79.85pt;height:25.55pt;z-index:251665408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i/>
                    </w:rPr>
                  </w:pPr>
                  <w:r>
                    <w:rPr>
                      <w:i/>
                    </w:rPr>
                    <w:t>Acto Material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36" type="#_x0000_t87" style="position:absolute;left:0;text-align:left;margin-left:313pt;margin-top:12.7pt;width:23.25pt;height:54.8pt;z-index:251669504" strokeweight="1.5pt"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30" type="#_x0000_t202" style="position:absolute;left:0;text-align:left;margin-left:178.65pt;margin-top:6.85pt;width:136.6pt;height:25.55pt;z-index:251663360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Acto Jurídico </w:t>
                  </w:r>
                  <w:r>
                    <w:rPr>
                      <w:i/>
                      <w:u w:val="single"/>
                    </w:rPr>
                    <w:t>Strictu Sensu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35" type="#_x0000_t87" style="position:absolute;left:0;text-align:left;margin-left:166.2pt;margin-top:3.15pt;width:23.25pt;height:80.25pt;z-index:251668480" strokeweight="2.25pt"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29" type="#_x0000_t202" style="position:absolute;left:0;text-align:left;margin-left:91.2pt;margin-top:9.5pt;width:79.25pt;height:25.55pt;z-index:251662336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Acto Jurídico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33" type="#_x0000_t202" style="position:absolute;left:0;text-align:left;margin-left:321.15pt;margin-top:1.25pt;width:88.75pt;height:25.55pt;z-index:25166643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i/>
                    </w:rPr>
                  </w:pPr>
                  <w:r>
                    <w:rPr>
                      <w:i/>
                    </w:rPr>
                    <w:t>Quase Negócio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31" type="#_x0000_t202" style="position:absolute;left:0;text-align:left;margin-left:180.75pt;margin-top:15.85pt;width:94pt;height:25.55pt;z-index:251664384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i/>
                      <w:color w:val="FF0000"/>
                    </w:rPr>
                  </w:pPr>
                  <w:r>
                    <w:rPr>
                      <w:u w:val="single"/>
                    </w:rPr>
                    <w:t>Negócio Jurídico: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</w:rPr>
                    <w:t>ver classificações</w:t>
                  </w:r>
                </w:p>
              </w:txbxContent>
            </v:textbox>
            <w10:wrap anchorx="page" anchory="page"/>
          </v:shape>
        </w:pict>
      </w:r>
    </w:p>
    <w:p w:rsidR="00EA2F5D" w:rsidRDefault="00EA2F5D">
      <w:pPr>
        <w:jc w:val="center"/>
        <w:rPr>
          <w:b/>
          <w:sz w:val="28"/>
          <w:u w:val="single"/>
        </w:rPr>
      </w:pPr>
    </w:p>
    <w:p w:rsidR="00EA2F5D" w:rsidRDefault="00EA2F5D"/>
    <w:p w:rsidR="00EA2F5D" w:rsidRDefault="00EA2F5D"/>
    <w:p w:rsidR="00EA2F5D" w:rsidRDefault="006273C5">
      <w:pPr>
        <w:jc w:val="center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Facto Jurídico - Efeitos</w:t>
      </w:r>
    </w:p>
    <w:p w:rsidR="00EA2F5D" w:rsidRDefault="00EA2F5D">
      <w:pPr>
        <w:jc w:val="center"/>
        <w:rPr>
          <w:b/>
          <w:smallCaps/>
          <w:sz w:val="28"/>
          <w:u w:val="single"/>
        </w:rPr>
      </w:pPr>
    </w:p>
    <w:p w:rsidR="00EA2F5D" w:rsidRDefault="00A4636B">
      <w:pPr>
        <w:jc w:val="center"/>
        <w:rPr>
          <w:b/>
          <w:smallCaps/>
          <w:sz w:val="28"/>
          <w:u w:val="single"/>
        </w:rPr>
      </w:pPr>
      <w:r w:rsidRPr="00A4636B">
        <w:rPr>
          <w:b/>
          <w:sz w:val="28"/>
          <w:u w:val="single"/>
        </w:rPr>
        <w:pict>
          <v:shape id="_x0000_s1056" type="#_x0000_t202" style="position:absolute;left:0;text-align:left;margin-left:177.45pt;margin-top:14.3pt;width:113.6pt;height:25.55pt;z-index:251689984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Aquisição Originária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46" type="#_x0000_t87" style="position:absolute;left:0;text-align:left;margin-left:165pt;margin-top:3.05pt;width:17.7pt;height:46.45pt;z-index:251680768" strokeweight="1.5pt"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38" type="#_x0000_t202" style="position:absolute;left:0;text-align:left;margin-left:97.2pt;margin-top:15.8pt;width:68.45pt;height:25.55pt;z-index:251672576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Constitutivo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51" type="#_x0000_t202" style="position:absolute;margin-left:178.2pt;margin-top:16.15pt;width:108.35pt;height:25.55pt;z-index:251684864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Aquisição Derivada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44" type="#_x0000_t87" style="position:absolute;margin-left:77.7pt;margin-top:1.95pt;width:23.25pt;height:185.25pt;z-index:251678720" strokeweight="3pt"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42" type="#_x0000_t202" style="position:absolute;left:0;text-align:left;margin-left:250.35pt;margin-top:20.95pt;width:70.8pt;height:25.55pt;z-index:25167667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i/>
                    </w:rPr>
                  </w:pPr>
                  <w:r>
                    <w:rPr>
                      <w:i/>
                    </w:rPr>
                    <w:t>Transmissão</w:t>
                  </w:r>
                </w:p>
                <w:p w:rsidR="00EA2F5D" w:rsidRDefault="00EA2F5D"/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37" type="#_x0000_t202" style="position:absolute;left:0;text-align:left;margin-left:-5.4pt;margin-top:17.85pt;width:83.1pt;height:62.45pt;z-index:25167155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Facto Jurídico</w:t>
                  </w:r>
                </w:p>
                <w:p w:rsidR="00EA2F5D" w:rsidRDefault="006273C5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Efeitos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57" type="#_x0000_t87" style="position:absolute;left:0;text-align:left;margin-left:236.55pt;margin-top:7.85pt;width:17.7pt;height:36.8pt;z-index:251691008" strokeweight="1.5pt">
            <w10:wrap anchorx="page" anchory="page"/>
          </v:shape>
        </w:pict>
      </w:r>
      <w:r w:rsidRPr="00A4636B">
        <w:pict>
          <v:shape id="_x0000_s1054" type="#_x0000_t202" style="position:absolute;left:0;text-align:left;margin-left:176.6pt;margin-top:16.25pt;width:62.7pt;height:25.55pt;z-index:251687936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Subjectivo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43" type="#_x0000_t202" style="position:absolute;left:0;text-align:left;margin-left:250.5pt;margin-top:12.45pt;width:56.9pt;height:25.55pt;z-index:251677696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i/>
                    </w:rPr>
                  </w:pPr>
                  <w:r>
                    <w:rPr>
                      <w:i/>
                    </w:rPr>
                    <w:t>Sucessão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49" type="#_x0000_t87" style="position:absolute;left:0;text-align:left;margin-left:161.9pt;margin-top:3pt;width:17.7pt;height:46.45pt;z-index:251682816" strokeweight="1.5pt">
            <w10:wrap anchorx="page" anchory="page"/>
          </v:shape>
        </w:pict>
      </w:r>
      <w:r w:rsidRPr="00A4636B">
        <w:pict>
          <v:shape id="_x0000_s1047" type="#_x0000_t202" style="position:absolute;left:0;text-align:left;margin-left:88.95pt;margin-top:14.8pt;width:73.95pt;height:25.55pt;z-index:25168179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b/>
                    </w:rPr>
                  </w:pPr>
                  <w:r>
                    <w:rPr>
                      <w:b/>
                    </w:rPr>
                    <w:t>Modificativo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55" type="#_x0000_t202" style="position:absolute;left:0;text-align:left;margin-left:175.4pt;margin-top:16.2pt;width:60.7pt;height:25.55pt;z-index:251688960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Objectivo</w:t>
                  </w:r>
                </w:p>
              </w:txbxContent>
            </v:textbox>
            <w10:wrap anchorx="page" anchory="page"/>
          </v:shape>
        </w:pict>
      </w:r>
    </w:p>
    <w:p w:rsidR="00EA2F5D" w:rsidRDefault="00EA2F5D">
      <w:pPr>
        <w:jc w:val="center"/>
        <w:rPr>
          <w:b/>
          <w:sz w:val="28"/>
          <w:u w:val="single"/>
        </w:rPr>
      </w:pP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52" type="#_x0000_t202" style="position:absolute;left:0;text-align:left;margin-left:163.15pt;margin-top:18.5pt;width:62.7pt;height:25.55pt;z-index:251685888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Subjectivo</w:t>
                  </w:r>
                </w:p>
              </w:txbxContent>
            </v:textbox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39" type="#_x0000_t202" style="position:absolute;left:0;text-align:left;margin-left:97.2pt;margin-top:17.45pt;width:53.95pt;height:25.55pt;z-index:251673600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Extintivo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single"/>
        </w:rPr>
        <w:pict>
          <v:shape id="_x0000_s1050" type="#_x0000_t87" style="position:absolute;left:0;text-align:left;margin-left:148.95pt;margin-top:5.45pt;width:17.7pt;height:46.45pt;z-index:251683840" strokeweight="1.5pt">
            <w10:wrap anchorx="page" anchory="page"/>
          </v:shape>
        </w:pict>
      </w:r>
    </w:p>
    <w:p w:rsidR="00EA2F5D" w:rsidRDefault="00A463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 id="_x0000_s1053" type="#_x0000_t202" style="position:absolute;left:0;text-align:left;margin-left:162.45pt;margin-top:18.7pt;width:60.7pt;height:25.55pt;z-index:251686912;mso-wrap-style:none;mso-width-percent:400;mso-width-percent:400;mso-width-relative:margin;mso-height-relative:margin;v-text-anchor:middle" filled="f" stroked="f">
            <v:textbox>
              <w:txbxContent>
                <w:p w:rsidR="00EA2F5D" w:rsidRDefault="006273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Objectivo</w:t>
                  </w:r>
                </w:p>
              </w:txbxContent>
            </v:textbox>
            <w10:wrap anchorx="page" anchory="page"/>
          </v:shape>
        </w:pict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Exemplos</w:t>
      </w:r>
    </w:p>
    <w:p w:rsidR="00EA2F5D" w:rsidRDefault="006273C5">
      <w:pPr>
        <w:jc w:val="both"/>
        <w:rPr>
          <w:b/>
        </w:rPr>
      </w:pPr>
      <w:r>
        <w:rPr>
          <w:b/>
        </w:rPr>
        <w:t>Exemplo 1, geral:</w:t>
      </w:r>
    </w:p>
    <w:p w:rsidR="00EA2F5D" w:rsidRDefault="006273C5">
      <w:pPr>
        <w:jc w:val="both"/>
      </w:pPr>
      <w:r>
        <w:t xml:space="preserve">A e B celebram um contrato sobre uma coisa, artigo 879.º/a). Este contrato implica a transmissão de um direito de propriedade. </w:t>
      </w:r>
    </w:p>
    <w:p w:rsidR="00EA2F5D" w:rsidRDefault="006273C5">
      <w:pPr>
        <w:jc w:val="both"/>
      </w:pPr>
      <w:r>
        <w:rPr>
          <w:u w:val="single"/>
        </w:rPr>
        <w:t xml:space="preserve">Analisando o contrato na prespectiva da esfera jurídica de cada indivíduo: </w:t>
      </w:r>
    </w:p>
    <w:p w:rsidR="00EA2F5D" w:rsidRDefault="006273C5">
      <w:pPr>
        <w:pStyle w:val="PargrafodaLista"/>
        <w:numPr>
          <w:ilvl w:val="0"/>
          <w:numId w:val="10"/>
        </w:numPr>
        <w:jc w:val="both"/>
      </w:pPr>
      <w:r>
        <w:t>para A este facto jurídico tem um efeito extintivo subjectivo;</w:t>
      </w:r>
    </w:p>
    <w:p w:rsidR="00EA2F5D" w:rsidRDefault="006273C5">
      <w:pPr>
        <w:pStyle w:val="PargrafodaLista"/>
        <w:numPr>
          <w:ilvl w:val="0"/>
          <w:numId w:val="10"/>
        </w:numPr>
        <w:jc w:val="both"/>
      </w:pPr>
      <w:r>
        <w:t xml:space="preserve">para B o facto jurídico tem um efeito constitutivo por aquisição derivada; </w:t>
      </w:r>
    </w:p>
    <w:p w:rsidR="00EA2F5D" w:rsidRDefault="006273C5">
      <w:pPr>
        <w:jc w:val="both"/>
        <w:rPr>
          <w:u w:val="single"/>
        </w:rPr>
      </w:pPr>
      <w:r>
        <w:rPr>
          <w:u w:val="single"/>
        </w:rPr>
        <w:t xml:space="preserve">Numa prespectiva exterior à esfera jurídica dos indivíduos: </w:t>
      </w:r>
    </w:p>
    <w:p w:rsidR="00EA2F5D" w:rsidRDefault="006273C5">
      <w:pPr>
        <w:pStyle w:val="PargrafodaLista"/>
        <w:numPr>
          <w:ilvl w:val="0"/>
          <w:numId w:val="11"/>
        </w:numPr>
        <w:jc w:val="both"/>
        <w:rPr>
          <w:u w:val="single"/>
        </w:rPr>
      </w:pPr>
      <w:r>
        <w:t>o facto é modificativo, tratando-se de uma transmissão (nota: a transmissão produz um efeito igual ao da aquisição derivada e vice-versa).</w:t>
      </w:r>
    </w:p>
    <w:p w:rsidR="00EA2F5D" w:rsidRDefault="00EA2F5D">
      <w:pPr>
        <w:jc w:val="both"/>
        <w:rPr>
          <w:u w:val="single"/>
        </w:rPr>
      </w:pPr>
    </w:p>
    <w:p w:rsidR="00EA2F5D" w:rsidRDefault="006273C5">
      <w:pPr>
        <w:jc w:val="both"/>
        <w:rPr>
          <w:b/>
        </w:rPr>
      </w:pPr>
      <w:r>
        <w:rPr>
          <w:b/>
        </w:rPr>
        <w:t>Exemplo 2, facto constitutivo:</w:t>
      </w:r>
    </w:p>
    <w:p w:rsidR="00EA2F5D" w:rsidRDefault="006273C5">
      <w:pPr>
        <w:jc w:val="both"/>
      </w:pPr>
      <w:r>
        <w:rPr>
          <w:u w:val="single"/>
        </w:rPr>
        <w:t>Aquisição originária:</w:t>
      </w:r>
      <w:r>
        <w:t xml:space="preserve"> o usucapião, artigo 1296.º, é um dos exemplos mais comuns de aquisição originária, não existe nesta figura transmissão ou sucessão. Mais, numa aquisição originária o exemplo dado em baixo relativamente à aquisição derivada não se verifica.</w:t>
      </w:r>
    </w:p>
    <w:p w:rsidR="00EA2F5D" w:rsidRDefault="006273C5">
      <w:pPr>
        <w:jc w:val="both"/>
      </w:pPr>
      <w:r>
        <w:rPr>
          <w:u w:val="single"/>
        </w:rPr>
        <w:t>Aquisição derivada:</w:t>
      </w:r>
      <w:r>
        <w:t xml:space="preserve"> na aquisição derivada as vicissitudes sobre a situação jurídica são também transmitidas, vg uma hipoteca que o Banco tem sobre a casa de A transmite-se quando a casa é vendida a B.</w:t>
      </w:r>
    </w:p>
    <w:p w:rsidR="00EA2F5D" w:rsidRDefault="00EA2F5D">
      <w:pPr>
        <w:jc w:val="both"/>
        <w:rPr>
          <w:u w:val="single"/>
        </w:rPr>
      </w:pPr>
    </w:p>
    <w:p w:rsidR="00EA2F5D" w:rsidRDefault="006273C5">
      <w:pPr>
        <w:jc w:val="both"/>
        <w:rPr>
          <w:b/>
        </w:rPr>
      </w:pPr>
      <w:r>
        <w:rPr>
          <w:b/>
        </w:rPr>
        <w:t>Exemplo 3, facto modificativo</w:t>
      </w:r>
    </w:p>
    <w:p w:rsidR="00EA2F5D" w:rsidRDefault="006273C5">
      <w:pPr>
        <w:jc w:val="both"/>
        <w:rPr>
          <w:u w:val="single"/>
        </w:rPr>
      </w:pPr>
      <w:r>
        <w:rPr>
          <w:u w:val="single"/>
        </w:rPr>
        <w:t>Subjectivo:</w:t>
      </w:r>
    </w:p>
    <w:p w:rsidR="00EA2F5D" w:rsidRDefault="006273C5">
      <w:pPr>
        <w:jc w:val="both"/>
        <w:rPr>
          <w:u w:val="single"/>
        </w:rPr>
      </w:pPr>
      <w:r>
        <w:rPr>
          <w:i/>
        </w:rPr>
        <w:t>Transmissão:</w:t>
      </w:r>
      <w:r>
        <w:t xml:space="preserve"> </w:t>
      </w:r>
    </w:p>
    <w:p w:rsidR="00EA2F5D" w:rsidRDefault="006273C5">
      <w:pPr>
        <w:pStyle w:val="PargrafodaLista"/>
        <w:numPr>
          <w:ilvl w:val="0"/>
          <w:numId w:val="12"/>
        </w:numPr>
        <w:jc w:val="both"/>
      </w:pPr>
      <w:r>
        <w:t>Exemplo 3.1.</w:t>
      </w:r>
      <w:r>
        <w:rPr>
          <w:color w:val="FF0000"/>
        </w:rPr>
        <w:t xml:space="preserve"> </w:t>
      </w:r>
      <w:r>
        <w:t xml:space="preserve">B ocupa um terreno em boa fé, artigo 1260.º, durante 16 anos, que transmite a C sem que nunca nesse período tenha requerido usucapião, artigo 1296.º. </w:t>
      </w:r>
    </w:p>
    <w:p w:rsidR="00EA2F5D" w:rsidRDefault="006273C5">
      <w:pPr>
        <w:pStyle w:val="PargrafodaLista"/>
        <w:numPr>
          <w:ilvl w:val="0"/>
          <w:numId w:val="12"/>
        </w:numPr>
        <w:jc w:val="both"/>
      </w:pPr>
      <w:r>
        <w:t>C ocupa o terreno de ma fé por um período de 2 anos. Diz o artigo 1256.º/1 que C pode juntar os seus anos de posse os de B, perfazendo assim 18 anos, para pedir usucapião. Contudo, dispõe o artigo 1256.º/2 que uma vez tratando-se de duas posses de natureza diferente só o pode fazer nos limites da posse que tiver menor âmbito, a posse de má fé. Assim, C tem que esperar mais dois anos, até aos 20 anos para ao abrigo do artigo 1296.º requerer usucapião.</w:t>
      </w:r>
    </w:p>
    <w:p w:rsidR="00EA2F5D" w:rsidRDefault="006273C5">
      <w:pPr>
        <w:pStyle w:val="PargrafodaLista"/>
        <w:numPr>
          <w:ilvl w:val="0"/>
          <w:numId w:val="12"/>
        </w:numPr>
        <w:jc w:val="both"/>
      </w:pPr>
      <w:r>
        <w:t>Exemplo 3.2.</w:t>
      </w:r>
      <w:r>
        <w:rPr>
          <w:color w:val="FF0000"/>
        </w:rPr>
        <w:t xml:space="preserve"> </w:t>
      </w:r>
      <w:r>
        <w:t xml:space="preserve">A tem que pagar 1000€ a B de uma divida que por via contratual transmite a C ao abrigo do artigo 596.º/1, ou seja, mediante a ratificação do credor. </w:t>
      </w:r>
    </w:p>
    <w:p w:rsidR="00EA2F5D" w:rsidRDefault="006273C5">
      <w:pPr>
        <w:pStyle w:val="PargrafodaLista"/>
        <w:ind w:left="0"/>
        <w:jc w:val="both"/>
        <w:rPr>
          <w:i/>
        </w:rPr>
      </w:pPr>
      <w:r>
        <w:rPr>
          <w:i/>
        </w:rPr>
        <w:lastRenderedPageBreak/>
        <w:t xml:space="preserve">Sucessão: </w:t>
      </w:r>
    </w:p>
    <w:p w:rsidR="00EA2F5D" w:rsidRDefault="006273C5">
      <w:pPr>
        <w:pStyle w:val="PargrafodaLista"/>
        <w:numPr>
          <w:ilvl w:val="0"/>
          <w:numId w:val="13"/>
        </w:numPr>
        <w:jc w:val="both"/>
      </w:pPr>
      <w:r>
        <w:t>Só há alteração ao nível da pessoa, o conteúdo não é alterado: B ocupa o terreno de boa fé há 16 anos. B morre e o prédio passa por via sucessória para C, que está de má fé e por via de regra teria que esperar 20 anos para pedir usucapião em vez de 15. No entanto, sendo uma sucessão não releva a má fé de C para requer usucapião e pode-o fazer uma vez que já haviam passado mais de 15 anos no momento em que este se torna proprietário do prédio.</w:t>
      </w:r>
    </w:p>
    <w:p w:rsidR="00EA2F5D" w:rsidRDefault="006273C5">
      <w:pPr>
        <w:jc w:val="both"/>
        <w:rPr>
          <w:highlight w:val="yellow"/>
        </w:rPr>
      </w:pPr>
      <w:r>
        <w:rPr>
          <w:u w:val="single"/>
        </w:rPr>
        <w:t>Objectivo:</w:t>
      </w:r>
      <w:r>
        <w:t xml:space="preserve"> modifica-se o conteúdo, vg artigo 437.º</w:t>
      </w:r>
    </w:p>
    <w:p w:rsidR="00EA2F5D" w:rsidRDefault="00EA2F5D">
      <w:pPr>
        <w:rPr>
          <w:b/>
          <w:sz w:val="32"/>
          <w:highlight w:val="yellow"/>
        </w:rPr>
      </w:pPr>
    </w:p>
    <w:p w:rsidR="00EA2F5D" w:rsidRDefault="00EA2F5D">
      <w:pPr>
        <w:rPr>
          <w:highlight w:val="yellow"/>
        </w:rPr>
      </w:pPr>
    </w:p>
    <w:p w:rsidR="00EA2F5D" w:rsidRDefault="006273C5">
      <w:pPr>
        <w:pStyle w:val="Ttulo3"/>
        <w:spacing w:before="0" w:after="0"/>
        <w:rPr>
          <w:rStyle w:val="RefernciaIntensa"/>
          <w:b/>
          <w:color w:val="auto"/>
          <w:u w:val="none"/>
        </w:rPr>
      </w:pPr>
      <w:r>
        <w:rPr>
          <w:highlight w:val="red"/>
        </w:rPr>
        <w:t>Aula 4 (05/03/12)</w:t>
      </w:r>
    </w:p>
    <w:p w:rsidR="00EA2F5D" w:rsidRDefault="006273C5">
      <w:pPr>
        <w:jc w:val="both"/>
        <w:rPr>
          <w:rStyle w:val="RefernciaIntensa"/>
          <w:color w:val="000000"/>
        </w:rPr>
      </w:pPr>
      <w:r>
        <w:rPr>
          <w:rStyle w:val="RefernciaIntensa"/>
          <w:color w:val="000000"/>
        </w:rPr>
        <w:t>Classificações dos negócios jurídicos</w:t>
      </w: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1. Negócio unilaterais e multilaterais ou contratos</w:t>
      </w:r>
    </w:p>
    <w:p w:rsidR="00EA2F5D" w:rsidRDefault="006273C5">
      <w:pPr>
        <w:jc w:val="both"/>
        <w:rPr>
          <w:b/>
        </w:rPr>
      </w:pPr>
      <w:r>
        <w:rPr>
          <w:b/>
        </w:rPr>
        <w:t>(Distinção tradicional)</w:t>
      </w:r>
    </w:p>
    <w:p w:rsidR="00EA2F5D" w:rsidRDefault="006273C5">
      <w:pPr>
        <w:jc w:val="both"/>
      </w:pPr>
      <w:r>
        <w:t xml:space="preserve">O negócio diz-se unilateral quando tenha uma única parte; é multilateral ou contrato quando, pelo contrário, se assuma como produto de duas ou mais partes. </w:t>
      </w:r>
      <w:r>
        <w:rPr>
          <w:u w:val="single"/>
        </w:rPr>
        <w:t>Nota:</w:t>
      </w:r>
      <w:r>
        <w:t xml:space="preserve"> normalmente, serão duas (partes), pelo que o contrato é, por vezes considerado como um negócio bilateral; pode, porém, ser mais de duas: tal sucederá com frequência no contrato de sociedade. </w:t>
      </w:r>
    </w:p>
    <w:p w:rsidR="00EA2F5D" w:rsidRDefault="006273C5">
      <w:pPr>
        <w:jc w:val="both"/>
      </w:pPr>
      <w:r>
        <w:t>Uma parte pode ser constituída por várias pessoas desde que estas emitam uma mesma declaração de vontade ou, havendo declarações de vontade diferentes, desde que estas convergem para a realização de um mesmo interesse/fim.</w:t>
      </w:r>
    </w:p>
    <w:p w:rsidR="00EA2F5D" w:rsidRDefault="006273C5">
      <w:pPr>
        <w:jc w:val="both"/>
        <w:rPr>
          <w:b/>
        </w:rPr>
      </w:pPr>
      <w:r>
        <w:rPr>
          <w:b/>
        </w:rPr>
        <w:t>(Distinção do Prof. Menezes Cordeiro)</w:t>
      </w:r>
    </w:p>
    <w:p w:rsidR="00EA2F5D" w:rsidRDefault="006273C5">
      <w:pPr>
        <w:jc w:val="both"/>
      </w:pPr>
      <w:r>
        <w:t>Quando a lei trata de forma indiferenciada várias pessoas temos um contrato e não um negócio unilateral, vg A e B sujeitam-se indiferenciadamente ao regime do 879.º/b) no negócio estabelecido com C que se encontra ao abrigo do 879.º/c)</w:t>
      </w:r>
    </w:p>
    <w:p w:rsidR="00EA2F5D" w:rsidRDefault="00EA2F5D">
      <w:pPr>
        <w:jc w:val="both"/>
      </w:pPr>
    </w:p>
    <w:p w:rsidR="00EA2F5D" w:rsidRDefault="006273C5">
      <w:pPr>
        <w:jc w:val="both"/>
        <w:rPr>
          <w:u w:val="single"/>
        </w:rPr>
      </w:pPr>
      <w:r>
        <w:rPr>
          <w:u w:val="single"/>
        </w:rPr>
        <w:t>Tipos de contratos:</w:t>
      </w:r>
    </w:p>
    <w:p w:rsidR="00EA2F5D" w:rsidRDefault="006273C5">
      <w:pPr>
        <w:jc w:val="both"/>
        <w:rPr>
          <w:i/>
        </w:rPr>
      </w:pPr>
      <w:r>
        <w:rPr>
          <w:i/>
        </w:rPr>
        <w:t>Sinalagmático/</w:t>
      </w:r>
      <w:proofErr w:type="spellStart"/>
      <w:r>
        <w:rPr>
          <w:i/>
        </w:rPr>
        <w:t>assinalagmático</w:t>
      </w:r>
      <w:proofErr w:type="spellEnd"/>
      <w:r>
        <w:rPr>
          <w:i/>
        </w:rPr>
        <w:t>:</w:t>
      </w:r>
    </w:p>
    <w:p w:rsidR="00EA2F5D" w:rsidRDefault="006273C5">
      <w:pPr>
        <w:jc w:val="both"/>
      </w:pPr>
      <w:r>
        <w:t xml:space="preserve">Contrato sinalagmático é um contrato onde A está adstrito a cumprir por correlação/correspondência com o cumprimento de B. No contrato </w:t>
      </w:r>
      <w:proofErr w:type="spellStart"/>
      <w:r>
        <w:t>assinalagmático</w:t>
      </w:r>
      <w:proofErr w:type="spellEnd"/>
      <w:r>
        <w:t xml:space="preserve"> não é </w:t>
      </w:r>
      <w:proofErr w:type="spellStart"/>
      <w:r>
        <w:t>prossuposta</w:t>
      </w:r>
      <w:proofErr w:type="spellEnd"/>
      <w:r>
        <w:t xml:space="preserve"> esta correlação, vg o contrato de trabalho não implica uma correlação entre o pagamento e a prestação do trabalho (se houver um incêndio no local de trabalho o trabalhador não pode trabalhar mas isso não quer dizer que não receba).</w:t>
      </w:r>
    </w:p>
    <w:p w:rsidR="00EA2F5D" w:rsidRDefault="006273C5">
      <w:pPr>
        <w:jc w:val="both"/>
      </w:pPr>
      <w:proofErr w:type="spellStart"/>
      <w:r>
        <w:rPr>
          <w:i/>
        </w:rPr>
        <w:t>Monovincunlante</w:t>
      </w:r>
      <w:proofErr w:type="spellEnd"/>
      <w:r>
        <w:rPr>
          <w:i/>
        </w:rPr>
        <w:t>/</w:t>
      </w:r>
      <w:proofErr w:type="spellStart"/>
      <w:r>
        <w:rPr>
          <w:i/>
        </w:rPr>
        <w:t>bivinculante</w:t>
      </w:r>
      <w:proofErr w:type="spellEnd"/>
      <w:r>
        <w:rPr>
          <w:i/>
        </w:rPr>
        <w:t>:</w:t>
      </w:r>
    </w:p>
    <w:p w:rsidR="00EA2F5D" w:rsidRDefault="006273C5">
      <w:pPr>
        <w:jc w:val="both"/>
      </w:pPr>
      <w:r>
        <w:lastRenderedPageBreak/>
        <w:t>Um contrato monovinculante vincula apenas uma das partes, vg artigo 411.º. Um contrato bivinculante vincula todas as partes, vg contrato sinalagmático.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2. Negócios </w:t>
      </w:r>
      <w:r>
        <w:rPr>
          <w:b/>
          <w:i/>
          <w:u w:val="single"/>
        </w:rPr>
        <w:t>inter vivos</w:t>
      </w:r>
      <w:r>
        <w:rPr>
          <w:b/>
          <w:u w:val="single"/>
        </w:rPr>
        <w:t xml:space="preserve"> e </w:t>
      </w:r>
      <w:r>
        <w:rPr>
          <w:b/>
          <w:i/>
          <w:u w:val="single"/>
        </w:rPr>
        <w:t>mortis causa</w:t>
      </w:r>
    </w:p>
    <w:p w:rsidR="00EA2F5D" w:rsidRDefault="006273C5">
      <w:pPr>
        <w:jc w:val="both"/>
      </w:pPr>
      <w:r>
        <w:t xml:space="preserve">As partes, ao abrigo da sua autonomia privada, podem estipular que os seus negócios produzam efeitos com a morte de alguma delas. Não obstante, o negócio é </w:t>
      </w:r>
      <w:r>
        <w:rPr>
          <w:i/>
        </w:rPr>
        <w:t>inter vivos</w:t>
      </w:r>
      <w:r>
        <w:t xml:space="preserve"> por assentar num tipo de regulação principalmente destinada a reger relações entre vivos. Assim sucede com o contrato de seguro de vida, que produz efeitos com a morte do segurado. </w:t>
      </w:r>
    </w:p>
    <w:p w:rsidR="00EA2F5D" w:rsidRDefault="006273C5">
      <w:pPr>
        <w:jc w:val="both"/>
      </w:pPr>
      <w:r>
        <w:t xml:space="preserve">O verdadeiro negócio </w:t>
      </w:r>
      <w:r>
        <w:rPr>
          <w:i/>
        </w:rPr>
        <w:t>mortis causa</w:t>
      </w:r>
      <w:r>
        <w:t xml:space="preserve"> é intrinsecamente concebido pelo Direito para reger situações jurídicas desencadeadas com a morte de uma pessoa. Em termos práticos, ele é regulado pelo Direito das sucessões. De novo há, pois, que partir dos efeitos, para explicar esta contraposição. Exemplos: artigos 2179.º e 1700.º.</w:t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3. Negócios formais e consensuais</w:t>
      </w:r>
    </w:p>
    <w:p w:rsidR="00EA2F5D" w:rsidRDefault="006273C5">
      <w:pPr>
        <w:jc w:val="both"/>
      </w:pPr>
      <w:r>
        <w:t>São consensuais os negócios que, por não caírem sob a estatuição de normas cominadoras de forma especial, sejam susceptíveis de conclusão por simples consenso, vg artigo 219.º (comprar uma biblioteca, os livros; celebrar contrato para a construção de um hotel...). São formais os negócios para cuja conclusão a lei exija determinado ritual na exteriorização da vontade, vg artigos 875.º e 947.º</w:t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4. Negócios obrigacionais, reais, familiares e sucessórios</w:t>
      </w:r>
    </w:p>
    <w:p w:rsidR="00EA2F5D" w:rsidRDefault="006273C5">
      <w:pPr>
        <w:jc w:val="both"/>
      </w:pPr>
      <w:r>
        <w:t>Os negócios podem classificar-se em pessoais, obrigacionais e reais (</w:t>
      </w:r>
      <w:r>
        <w:rPr>
          <w:i/>
        </w:rPr>
        <w:t>quoad effectum</w:t>
      </w:r>
      <w:r>
        <w:t>), consoante a forma de eficácia (efeitos) a que dêem lugar seja pessoal, obrigacional ou real.</w:t>
      </w:r>
    </w:p>
    <w:p w:rsidR="00EA2F5D" w:rsidRDefault="006273C5">
      <w:pPr>
        <w:jc w:val="both"/>
      </w:pPr>
      <w:r>
        <w:t xml:space="preserve">Nos direitos reais vigora um princípio de tipicidade. O mútuo, 1144.º, pode ser celebrado sem entregada da coisa as a </w:t>
      </w:r>
      <w:proofErr w:type="spellStart"/>
      <w:r>
        <w:t>produçao</w:t>
      </w:r>
      <w:proofErr w:type="spellEnd"/>
      <w:r>
        <w:t xml:space="preserve"> do efeito real depende da entrega.</w:t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 xml:space="preserve">5. Negócios reais </w:t>
      </w:r>
      <w:r>
        <w:rPr>
          <w:b/>
          <w:i/>
          <w:u w:val="single"/>
        </w:rPr>
        <w:t>quoad effectum</w:t>
      </w:r>
      <w:r>
        <w:rPr>
          <w:b/>
          <w:u w:val="single"/>
        </w:rPr>
        <w:t xml:space="preserve"> e </w:t>
      </w:r>
      <w:r>
        <w:rPr>
          <w:b/>
          <w:i/>
          <w:u w:val="single"/>
        </w:rPr>
        <w:t>quoad constitutionem</w:t>
      </w:r>
      <w:r>
        <w:rPr>
          <w:b/>
          <w:u w:val="single"/>
        </w:rPr>
        <w:t xml:space="preserve">; negócios sujeitos a registo constitutivo </w:t>
      </w:r>
    </w:p>
    <w:p w:rsidR="00EA2F5D" w:rsidRDefault="006273C5">
      <w:pPr>
        <w:jc w:val="both"/>
      </w:pPr>
      <w:r>
        <w:t xml:space="preserve">Negócios reais são aqueles cuja celebração dependa da transmissão de uma coisa; aos negócios reais, nesta acepção, chama-se ainda reais </w:t>
      </w:r>
      <w:r>
        <w:rPr>
          <w:i/>
        </w:rPr>
        <w:t>quoad constitutionem</w:t>
      </w:r>
      <w:r>
        <w:t xml:space="preserve">, vg 408.º/2 +/-; 669.º/1, como modo de os distinguir dos negócios também reais, mas por terem eficácia real - reais </w:t>
      </w:r>
      <w:r>
        <w:rPr>
          <w:i/>
        </w:rPr>
        <w:t xml:space="preserve">quoad effectum, </w:t>
      </w:r>
      <w:r>
        <w:t>vg</w:t>
      </w:r>
      <w:r>
        <w:rPr>
          <w:i/>
        </w:rPr>
        <w:t xml:space="preserve"> 408.º/1.</w:t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 xml:space="preserve">6. Negócios típicos e atípicos &amp; 7. Negócios nominados e inominados </w:t>
      </w:r>
    </w:p>
    <w:p w:rsidR="00EA2F5D" w:rsidRDefault="006273C5">
      <w:pPr>
        <w:jc w:val="both"/>
      </w:pPr>
      <w:r>
        <w:lastRenderedPageBreak/>
        <w:t xml:space="preserve">O negócio é típico quando a sua regulação conste da lei; é atípico quando tenha sido "engendrada" pelas partes. O negócio típico é, em princípio, nominado: a lei designa-o pelo seu nome - </w:t>
      </w:r>
      <w:r>
        <w:rPr>
          <w:i/>
        </w:rPr>
        <w:t>nomen iuris</w:t>
      </w:r>
      <w:r>
        <w:t xml:space="preserve">. Por exemplo, a compra e venda, a doação e a sociedade são  típicas e nominadas. Pode acontecer que o negócio seja regulado mas apenas apelidado pela doutrina e logo será inominado, ainda que típico. Ou, pelo contrário, podemos estar presente um negócio atípico, não regulado, mas nominado, vg os contratos de transporte e hospedagem, referidos no artigo 755.º/a) e b), mas sem tratamento explícito no Código. 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8. Negócios onerosos e gratuitos</w:t>
      </w:r>
    </w:p>
    <w:p w:rsidR="00EA2F5D" w:rsidRDefault="006273C5">
      <w:pPr>
        <w:jc w:val="both"/>
      </w:pPr>
      <w:r>
        <w:t xml:space="preserve">O negócio é oneroso quando implique esforços/vantagens para ambas as partes, em simultâneo; pelo contrário, ele é gratuito quando cada uma das partes dele retire tão-só vantagens ou sacrifícios. Negocio oneroso tem um regime protecional maior, artigo 291.º/1 se só adquiriu a titulo oneroso, adquire </w:t>
      </w:r>
      <w:proofErr w:type="spellStart"/>
      <w:r>
        <w:t>tabularmente</w:t>
      </w:r>
      <w:proofErr w:type="spellEnd"/>
      <w:r>
        <w:t>.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</w:rPr>
      </w:pPr>
      <w:r>
        <w:rPr>
          <w:b/>
        </w:rPr>
        <w:t>Mais exemplos:</w:t>
      </w:r>
    </w:p>
    <w:p w:rsidR="00EA2F5D" w:rsidRDefault="006273C5">
      <w:pPr>
        <w:pStyle w:val="PargrafodaLista"/>
        <w:numPr>
          <w:ilvl w:val="0"/>
          <w:numId w:val="16"/>
        </w:numPr>
        <w:jc w:val="both"/>
        <w:rPr>
          <w:u w:val="single"/>
        </w:rPr>
      </w:pPr>
      <w:r>
        <w:rPr>
          <w:u w:val="single"/>
        </w:rPr>
        <w:t>Artigo 610.º  e 612.º</w:t>
      </w:r>
    </w:p>
    <w:p w:rsidR="00EA2F5D" w:rsidRDefault="006273C5">
      <w:pPr>
        <w:pStyle w:val="PargrafodaLista"/>
        <w:ind w:left="360"/>
        <w:jc w:val="both"/>
      </w:pPr>
      <w:r>
        <w:t>A é credor de B em 10.000€. B mete o seu carro em nome da mulher pra que A não tenha garantias. A pode, contudo, através da impugnação pauliana, impugnar o negócio.</w:t>
      </w:r>
    </w:p>
    <w:p w:rsidR="00EA2F5D" w:rsidRDefault="006273C5">
      <w:pPr>
        <w:pStyle w:val="PargrafodaLista"/>
        <w:numPr>
          <w:ilvl w:val="0"/>
          <w:numId w:val="16"/>
        </w:numPr>
        <w:jc w:val="both"/>
        <w:rPr>
          <w:u w:val="single"/>
        </w:rPr>
      </w:pPr>
      <w:r>
        <w:rPr>
          <w:u w:val="single"/>
        </w:rPr>
        <w:t>Artigo 237.º</w:t>
      </w:r>
    </w:p>
    <w:p w:rsidR="00EA2F5D" w:rsidRDefault="006273C5">
      <w:pPr>
        <w:pStyle w:val="PargrafodaLista"/>
        <w:ind w:left="360"/>
        <w:jc w:val="both"/>
      </w:pPr>
      <w:r>
        <w:t xml:space="preserve">No caso da tia velhinha de A (que ficam em casa de B, que recebe a casa por doação de A) se existir uma qualquer </w:t>
      </w:r>
      <w:proofErr w:type="spellStart"/>
      <w:r>
        <w:t>desvantatem</w:t>
      </w:r>
      <w:proofErr w:type="spellEnd"/>
      <w:r>
        <w:t xml:space="preserve"> decorrente do encargo para o </w:t>
      </w:r>
      <w:proofErr w:type="spellStart"/>
      <w:r>
        <w:t>donatario</w:t>
      </w:r>
      <w:proofErr w:type="spellEnd"/>
      <w:r>
        <w:t xml:space="preserve"> passa a ser oneroso, segundo a prespectiva do Professor Menezes Cordeiro. 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9. Negócios causais e abstractos</w:t>
      </w:r>
    </w:p>
    <w:p w:rsidR="00EA2F5D" w:rsidRDefault="006273C5">
      <w:pPr>
        <w:jc w:val="both"/>
      </w:pPr>
      <w:r>
        <w:t>O negócio é causal quando a sua fonte tenha de ser explicitada para que a sua eficácia se manifeste e subsista, vg artigos 879.º/c e 1142.º. O negócio é abstracto quando essa eficácia se produza e conserve independentemente da concreta configuração que o haja originado.</w:t>
      </w:r>
    </w:p>
    <w:p w:rsidR="00EA2F5D" w:rsidRDefault="006273C5">
      <w:pPr>
        <w:jc w:val="both"/>
      </w:pPr>
      <w:r>
        <w:t xml:space="preserve">Fiança, artigo 627.º, tem uma causa justificativa no acordo ente devedor e fiador. As vicissitudes da causa </w:t>
      </w:r>
      <w:proofErr w:type="spellStart"/>
      <w:r>
        <w:t>repecurtem-se</w:t>
      </w:r>
      <w:proofErr w:type="spellEnd"/>
      <w:r>
        <w:t xml:space="preserve"> na </w:t>
      </w:r>
      <w:proofErr w:type="spellStart"/>
      <w:r>
        <w:t>finaça</w:t>
      </w:r>
      <w:proofErr w:type="spellEnd"/>
      <w:r>
        <w:t>, 632.º</w:t>
      </w:r>
    </w:p>
    <w:p w:rsidR="00EA2F5D" w:rsidRDefault="006273C5">
      <w:pPr>
        <w:jc w:val="both"/>
      </w:pPr>
      <w:r>
        <w:t>Artigo 16.º da Lei uniforme de letras</w:t>
      </w:r>
    </w:p>
    <w:p w:rsidR="00EA2F5D" w:rsidRDefault="006273C5">
      <w:pPr>
        <w:jc w:val="both"/>
      </w:pPr>
      <w:r>
        <w:t xml:space="preserve">D tem </w:t>
      </w:r>
      <w:proofErr w:type="spellStart"/>
      <w:r>
        <w:t>odireito</w:t>
      </w:r>
      <w:proofErr w:type="spellEnd"/>
      <w:r>
        <w:t xml:space="preserve"> de exigir de B </w:t>
      </w:r>
      <w:proofErr w:type="spellStart"/>
      <w:r>
        <w:t>odinheiro</w:t>
      </w:r>
      <w:proofErr w:type="spellEnd"/>
      <w:r>
        <w:t xml:space="preserve"> independentemente da causa que o levou a celebrar com A. </w:t>
      </w:r>
    </w:p>
    <w:p w:rsidR="00EA2F5D" w:rsidRDefault="006273C5">
      <w:pPr>
        <w:jc w:val="both"/>
        <w:rPr>
          <w:b/>
        </w:rPr>
      </w:pPr>
      <w:r>
        <w:rPr>
          <w:b/>
        </w:rPr>
        <w:lastRenderedPageBreak/>
        <w:t>Negócios com causa presumida:</w:t>
      </w:r>
    </w:p>
    <w:p w:rsidR="00EA2F5D" w:rsidRDefault="006273C5">
      <w:pPr>
        <w:jc w:val="both"/>
        <w:rPr>
          <w:b/>
        </w:rPr>
      </w:pPr>
      <w:r>
        <w:t xml:space="preserve">B deve 10.000€ a </w:t>
      </w:r>
      <w:proofErr w:type="spellStart"/>
      <w:r>
        <w:t>A</w:t>
      </w:r>
      <w:proofErr w:type="spellEnd"/>
      <w:r>
        <w:t xml:space="preserve"> e escreve num papel um reconhecimento de </w:t>
      </w:r>
      <w:proofErr w:type="spellStart"/>
      <w:r>
        <w:t>dívda</w:t>
      </w:r>
      <w:proofErr w:type="spellEnd"/>
      <w:r>
        <w:t xml:space="preserve"> em que diz  pagar no dia X. A não tem que fazer prova da causa.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 xml:space="preserve">10. Negócios de administração e de disposição </w:t>
      </w:r>
    </w:p>
    <w:p w:rsidR="00EA2F5D" w:rsidRDefault="006273C5">
      <w:pPr>
        <w:jc w:val="both"/>
        <w:rPr>
          <w:b/>
        </w:rPr>
      </w:pPr>
      <w:r>
        <w:t>Estando em jogo determinada situação jurídica - em regra um direito de dimensão significativa - o negócio de administração implicaria modificações secundárias ou periféricas no seu conteúdo, enquanto o negócio de disposição poria em causa a própria subsistência da situação. Este critério ainda não é suficiente uma vez que não deve ser apenas ponderada a situação jurídica mas a globalidade da esfera jurídica a ser atingida.</w:t>
      </w:r>
    </w:p>
    <w:p w:rsidR="00EA2F5D" w:rsidRDefault="00EA2F5D">
      <w:pPr>
        <w:jc w:val="both"/>
        <w:rPr>
          <w:b/>
        </w:rPr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 xml:space="preserve">11. Outras modalidades </w:t>
      </w:r>
    </w:p>
    <w:p w:rsidR="00EA2F5D" w:rsidRDefault="006273C5">
      <w:pPr>
        <w:jc w:val="both"/>
        <w:rPr>
          <w:b/>
        </w:rPr>
      </w:pPr>
      <w:r>
        <w:rPr>
          <w:b/>
        </w:rPr>
        <w:t>Negócios conjuntos ou deliberações</w:t>
      </w:r>
    </w:p>
    <w:p w:rsidR="00EA2F5D" w:rsidRDefault="006273C5">
      <w:pPr>
        <w:pStyle w:val="PargrafodaLista"/>
        <w:numPr>
          <w:ilvl w:val="0"/>
          <w:numId w:val="17"/>
        </w:numPr>
        <w:jc w:val="both"/>
      </w:pPr>
      <w:r>
        <w:rPr>
          <w:u w:val="single"/>
        </w:rPr>
        <w:t>Conjunto:</w:t>
      </w:r>
      <w:r>
        <w:t xml:space="preserve"> artigo 1408.º, implica que A e B estejam ambos de acordo para a venda a C da coisa X.</w:t>
      </w:r>
    </w:p>
    <w:p w:rsidR="00EA2F5D" w:rsidRDefault="006273C5">
      <w:pPr>
        <w:pStyle w:val="PargrafodaLista"/>
        <w:numPr>
          <w:ilvl w:val="0"/>
          <w:numId w:val="17"/>
        </w:numPr>
        <w:jc w:val="both"/>
      </w:pPr>
      <w:r>
        <w:rPr>
          <w:u w:val="single"/>
        </w:rPr>
        <w:t>Deliberações:</w:t>
      </w:r>
      <w:r>
        <w:t xml:space="preserve"> apenas é necessária uma maioria.</w:t>
      </w:r>
    </w:p>
    <w:p w:rsidR="00EA2F5D" w:rsidRDefault="006273C5">
      <w:pPr>
        <w:pStyle w:val="PargrafodaLista"/>
        <w:ind w:left="0"/>
        <w:jc w:val="both"/>
        <w:rPr>
          <w:b/>
        </w:rPr>
      </w:pPr>
      <w:r>
        <w:rPr>
          <w:b/>
        </w:rPr>
        <w:t>Negócios parciários, de organização, de distribuição e aleatórios</w:t>
      </w:r>
    </w:p>
    <w:p w:rsidR="00EA2F5D" w:rsidRDefault="006273C5">
      <w:pPr>
        <w:pStyle w:val="PargrafodaLista"/>
        <w:numPr>
          <w:ilvl w:val="0"/>
          <w:numId w:val="18"/>
        </w:numPr>
        <w:jc w:val="both"/>
      </w:pPr>
      <w:r>
        <w:rPr>
          <w:u w:val="single"/>
        </w:rPr>
        <w:t>Parciários:</w:t>
      </w:r>
      <w:r>
        <w:t xml:space="preserve"> envolvem a participação de todas as partes no </w:t>
      </w:r>
      <w:proofErr w:type="spellStart"/>
      <w:r>
        <w:t>resutados</w:t>
      </w:r>
      <w:proofErr w:type="spellEnd"/>
      <w:r>
        <w:t xml:space="preserve"> final, vg contrato de sociedade, artigo 980.º; parceria pecuária, artigo 1121.º.</w:t>
      </w:r>
    </w:p>
    <w:p w:rsidR="00EA2F5D" w:rsidRDefault="006273C5">
      <w:pPr>
        <w:pStyle w:val="PargrafodaLista"/>
        <w:numPr>
          <w:ilvl w:val="0"/>
          <w:numId w:val="18"/>
        </w:numPr>
        <w:jc w:val="both"/>
      </w:pPr>
      <w:r>
        <w:rPr>
          <w:u w:val="single"/>
        </w:rPr>
        <w:t>Organização:</w:t>
      </w:r>
      <w:r>
        <w:t xml:space="preserve"> estabelecer uma ligação que permita uma cooperação, vg sociedade.</w:t>
      </w:r>
    </w:p>
    <w:p w:rsidR="00EA2F5D" w:rsidRDefault="006273C5">
      <w:pPr>
        <w:pStyle w:val="PargrafodaLista"/>
        <w:numPr>
          <w:ilvl w:val="0"/>
          <w:numId w:val="18"/>
        </w:numPr>
        <w:jc w:val="both"/>
      </w:pPr>
      <w:r>
        <w:rPr>
          <w:u w:val="single"/>
        </w:rPr>
        <w:t>Distribuição:</w:t>
      </w:r>
      <w:r>
        <w:t xml:space="preserve"> contrato que coloca em contacto o produtor e o consumidor final, contrato de franquia, vg McDonald's; contrato de agência</w:t>
      </w:r>
    </w:p>
    <w:p w:rsidR="00EA2F5D" w:rsidRDefault="006273C5">
      <w:pPr>
        <w:pStyle w:val="PargrafodaLista"/>
        <w:numPr>
          <w:ilvl w:val="0"/>
          <w:numId w:val="18"/>
        </w:numPr>
        <w:jc w:val="both"/>
        <w:rPr>
          <w:b/>
        </w:rPr>
      </w:pPr>
      <w:r>
        <w:rPr>
          <w:u w:val="single"/>
        </w:rPr>
        <w:t>Aleatórios:</w:t>
      </w:r>
      <w:r>
        <w:t xml:space="preserve"> no momento da celebração as partes desconhecem as vantagens e os sacrifícios, vg contrato de seguro; contrato de jogo</w:t>
      </w:r>
    </w:p>
    <w:p w:rsidR="00EA2F5D" w:rsidRDefault="006273C5">
      <w:pPr>
        <w:pStyle w:val="PargrafodaLista"/>
        <w:ind w:left="0"/>
        <w:jc w:val="both"/>
        <w:rPr>
          <w:b/>
        </w:rPr>
      </w:pPr>
      <w:r>
        <w:rPr>
          <w:b/>
        </w:rPr>
        <w:t>Negócios instrumentais, preparatórios e acessórios</w:t>
      </w:r>
    </w:p>
    <w:p w:rsidR="00EA2F5D" w:rsidRDefault="006273C5">
      <w:pPr>
        <w:jc w:val="both"/>
      </w:pPr>
      <w:r>
        <w:t>Negócio sem autonomia própria que precisa de outro para se concretizar.</w:t>
      </w:r>
    </w:p>
    <w:p w:rsidR="00EA2F5D" w:rsidRDefault="006273C5">
      <w:pPr>
        <w:pStyle w:val="PargrafodaLista"/>
        <w:numPr>
          <w:ilvl w:val="0"/>
          <w:numId w:val="19"/>
        </w:numPr>
        <w:jc w:val="both"/>
      </w:pPr>
      <w:r>
        <w:rPr>
          <w:u w:val="single"/>
        </w:rPr>
        <w:t>Instrumentais:</w:t>
      </w:r>
      <w:r>
        <w:t xml:space="preserve"> não havendo uma contrato compra e venda à qual as partes fiquem adstritas mas havendo deliberações que se aplicarão no caso de haver compra e venda é um contrato instrumental.</w:t>
      </w:r>
    </w:p>
    <w:p w:rsidR="00EA2F5D" w:rsidRDefault="006273C5">
      <w:pPr>
        <w:pStyle w:val="PargrafodaLista"/>
        <w:numPr>
          <w:ilvl w:val="0"/>
          <w:numId w:val="19"/>
        </w:numPr>
        <w:jc w:val="both"/>
      </w:pPr>
      <w:r>
        <w:rPr>
          <w:u w:val="single"/>
        </w:rPr>
        <w:t>Preparatórios:</w:t>
      </w:r>
      <w:r>
        <w:t xml:space="preserve"> contrato promessa é um contrato preparatório do contrato final;</w:t>
      </w:r>
    </w:p>
    <w:p w:rsidR="00EA2F5D" w:rsidRDefault="006273C5">
      <w:pPr>
        <w:pStyle w:val="PargrafodaLista"/>
        <w:numPr>
          <w:ilvl w:val="0"/>
          <w:numId w:val="19"/>
        </w:numPr>
        <w:jc w:val="both"/>
      </w:pPr>
      <w:r>
        <w:rPr>
          <w:u w:val="single"/>
        </w:rPr>
        <w:t>Acessórios:</w:t>
      </w:r>
      <w:r>
        <w:t xml:space="preserve"> fiança.</w:t>
      </w:r>
    </w:p>
    <w:p w:rsidR="00EA2F5D" w:rsidRDefault="00EA2F5D">
      <w:pPr>
        <w:jc w:val="both"/>
      </w:pP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lastRenderedPageBreak/>
        <w:t>Aula 5 (09/03/12)</w:t>
      </w:r>
    </w:p>
    <w:p w:rsidR="00EA2F5D" w:rsidRDefault="006273C5">
      <w:pPr>
        <w:rPr>
          <w:b/>
        </w:rPr>
      </w:pPr>
      <w:r>
        <w:rPr>
          <w:b/>
        </w:rPr>
        <w:t>Continuação da classificação dos negócios jurídicos.</w:t>
      </w:r>
    </w:p>
    <w:p w:rsidR="00EA2F5D" w:rsidRDefault="00EA2F5D">
      <w:pPr>
        <w:pStyle w:val="Ttulo3"/>
        <w:spacing w:before="0" w:after="0"/>
        <w:rPr>
          <w:highlight w:val="yellow"/>
        </w:rPr>
      </w:pPr>
    </w:p>
    <w:p w:rsidR="00EA2F5D" w:rsidRDefault="00EA2F5D">
      <w:pPr>
        <w:rPr>
          <w:highlight w:val="yellow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6 (12/03/12)</w:t>
      </w:r>
    </w:p>
    <w:p w:rsidR="00EA2F5D" w:rsidRDefault="006273C5">
      <w:pPr>
        <w:rPr>
          <w:b/>
        </w:rPr>
      </w:pPr>
      <w:r>
        <w:rPr>
          <w:b/>
        </w:rPr>
        <w:t>Fim da classificação dos negócios jurídicos.</w:t>
      </w:r>
    </w:p>
    <w:p w:rsidR="00EA2F5D" w:rsidRDefault="00EA2F5D">
      <w:pPr>
        <w:pStyle w:val="Ttulo3"/>
        <w:spacing w:before="0" w:after="0"/>
        <w:rPr>
          <w:sz w:val="24"/>
        </w:rPr>
      </w:pPr>
    </w:p>
    <w:p w:rsidR="00EA2F5D" w:rsidRDefault="00EA2F5D">
      <w:pPr>
        <w:rPr>
          <w:highlight w:val="yellow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7 (16/03/12)</w:t>
      </w:r>
    </w:p>
    <w:p w:rsidR="00EA2F5D" w:rsidRDefault="006273C5">
      <w:pPr>
        <w:rPr>
          <w:b/>
        </w:rPr>
      </w:pPr>
      <w:r>
        <w:rPr>
          <w:b/>
        </w:rPr>
        <w:t xml:space="preserve">Resolução da hipótese nº 20, </w:t>
      </w:r>
      <w:r>
        <w:rPr>
          <w:b/>
          <w:i/>
        </w:rPr>
        <w:t>TGDCII (2ºs Casos Práticos).</w:t>
      </w:r>
    </w:p>
    <w:p w:rsidR="00EA2F5D" w:rsidRDefault="006273C5">
      <w:pPr>
        <w:pStyle w:val="PargrafodaLista"/>
        <w:numPr>
          <w:ilvl w:val="0"/>
          <w:numId w:val="24"/>
        </w:numPr>
        <w:ind w:left="360"/>
        <w:jc w:val="both"/>
      </w:pPr>
      <w:r>
        <w:t>O artigo 293.º é um exemplo do silêncio tendo valor negocial conferido lei.</w:t>
      </w:r>
    </w:p>
    <w:p w:rsidR="00EA2F5D" w:rsidRDefault="006273C5">
      <w:pPr>
        <w:pStyle w:val="PargrafodaLista"/>
        <w:ind w:left="360"/>
        <w:jc w:val="both"/>
      </w:pPr>
      <w:r>
        <w:rPr>
          <w:u w:val="single"/>
        </w:rPr>
        <w:t>Nota:</w:t>
      </w:r>
      <w:r>
        <w:t xml:space="preserve"> Para o Professor Menezes Cordeiro há que fazer uma interpretação restritiva do artigo 218.º: um uso não se legítima por si só é necessário que exista uma forma legal que atribua a esse uso valor negocial, vg no âmbito do Direito do Trabalho. </w:t>
      </w:r>
    </w:p>
    <w:p w:rsidR="00EA2F5D" w:rsidRDefault="006273C5">
      <w:pPr>
        <w:pStyle w:val="PargrafodaLista"/>
        <w:numPr>
          <w:ilvl w:val="0"/>
          <w:numId w:val="24"/>
        </w:numPr>
        <w:ind w:left="360"/>
        <w:jc w:val="both"/>
      </w:pPr>
      <w:r>
        <w:t>O artigo 228.º existe sobretudo para regular situações entre ausentes.</w:t>
      </w:r>
    </w:p>
    <w:p w:rsidR="00EA2F5D" w:rsidRDefault="00EA2F5D">
      <w:pPr>
        <w:jc w:val="both"/>
      </w:pPr>
    </w:p>
    <w:p w:rsidR="00EA2F5D" w:rsidRDefault="00EA2F5D">
      <w:pPr>
        <w:jc w:val="both"/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8 (19/03/12)</w:t>
      </w:r>
    </w:p>
    <w:p w:rsidR="00EA2F5D" w:rsidRDefault="006273C5">
      <w:pPr>
        <w:rPr>
          <w:b/>
          <w:color w:val="FF0000"/>
        </w:rPr>
      </w:pPr>
      <w:r>
        <w:rPr>
          <w:b/>
          <w:color w:val="000000"/>
        </w:rPr>
        <w:t xml:space="preserve">Conclusão da resolução de </w:t>
      </w:r>
      <w:r>
        <w:rPr>
          <w:b/>
          <w:i/>
          <w:color w:val="000000"/>
        </w:rPr>
        <w:t>TGDCII (2ºs Casos Práticos)</w:t>
      </w:r>
      <w:r>
        <w:rPr>
          <w:b/>
          <w:color w:val="000000"/>
        </w:rPr>
        <w:t>.</w:t>
      </w:r>
    </w:p>
    <w:p w:rsidR="00EA2F5D" w:rsidRDefault="00EA2F5D">
      <w:pPr>
        <w:rPr>
          <w:b/>
        </w:rPr>
      </w:pPr>
    </w:p>
    <w:p w:rsidR="00EA2F5D" w:rsidRDefault="006273C5">
      <w:pPr>
        <w:rPr>
          <w:b/>
          <w:color w:val="FF0000"/>
        </w:rPr>
      </w:pPr>
      <w:r>
        <w:rPr>
          <w:b/>
        </w:rPr>
        <w:t xml:space="preserve">Exemplo de uma declaração tácita: </w:t>
      </w:r>
    </w:p>
    <w:p w:rsidR="00EA2F5D" w:rsidRDefault="006273C5">
      <w:pPr>
        <w:pStyle w:val="Ttulo3"/>
        <w:numPr>
          <w:ilvl w:val="0"/>
          <w:numId w:val="23"/>
        </w:numPr>
        <w:spacing w:before="0" w:after="0"/>
        <w:rPr>
          <w:sz w:val="24"/>
        </w:rPr>
      </w:pPr>
      <w:r>
        <w:rPr>
          <w:sz w:val="24"/>
        </w:rPr>
        <w:t xml:space="preserve">B vende a casa de C 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ao abrigo do artigo 258.º; </w:t>
      </w:r>
    </w:p>
    <w:p w:rsidR="00EA2F5D" w:rsidRDefault="006273C5">
      <w:pPr>
        <w:pStyle w:val="Ttulo3"/>
        <w:numPr>
          <w:ilvl w:val="0"/>
          <w:numId w:val="23"/>
        </w:numPr>
        <w:spacing w:before="0" w:after="0"/>
        <w:rPr>
          <w:sz w:val="24"/>
        </w:rPr>
      </w:pPr>
      <w:r>
        <w:rPr>
          <w:sz w:val="24"/>
        </w:rPr>
        <w:t xml:space="preserve">No caso de C não autorizar aplicar-se-ão os artigos 262.º/2 e 268.º/2; </w:t>
      </w:r>
    </w:p>
    <w:p w:rsidR="00EA2F5D" w:rsidRDefault="006273C5">
      <w:pPr>
        <w:pStyle w:val="Ttulo3"/>
        <w:numPr>
          <w:ilvl w:val="0"/>
          <w:numId w:val="23"/>
        </w:numPr>
        <w:spacing w:before="0" w:after="0"/>
        <w:rPr>
          <w:sz w:val="24"/>
        </w:rPr>
      </w:pPr>
      <w:r>
        <w:rPr>
          <w:sz w:val="24"/>
        </w:rPr>
        <w:t>C regista o imóvel e vendo-o a D e dessa forma ratifica tacitamente.</w:t>
      </w:r>
    </w:p>
    <w:p w:rsidR="00EA2F5D" w:rsidRDefault="00EA2F5D">
      <w:pPr>
        <w:pStyle w:val="Ttulo3"/>
        <w:spacing w:before="0" w:after="0"/>
        <w:rPr>
          <w:highlight w:val="yellow"/>
        </w:rPr>
      </w:pPr>
    </w:p>
    <w:p w:rsidR="00EA2F5D" w:rsidRDefault="00EA2F5D">
      <w:pPr>
        <w:rPr>
          <w:highlight w:val="yellow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9 (23/03/12)</w:t>
      </w:r>
    </w:p>
    <w:p w:rsidR="00EA2F5D" w:rsidRDefault="006273C5">
      <w:pPr>
        <w:rPr>
          <w:b/>
          <w:color w:val="00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(3ºs Casos Práticos).</w:t>
      </w:r>
    </w:p>
    <w:p w:rsidR="00EA2F5D" w:rsidRDefault="00EA2F5D">
      <w:pPr>
        <w:rPr>
          <w:b/>
          <w:color w:val="000000"/>
        </w:rPr>
      </w:pPr>
    </w:p>
    <w:p w:rsidR="00EA2F5D" w:rsidRDefault="00EA2F5D">
      <w:pPr>
        <w:rPr>
          <w:b/>
          <w:color w:val="000000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10 (26/03/12)</w:t>
      </w:r>
    </w:p>
    <w:p w:rsidR="00EA2F5D" w:rsidRDefault="006273C5">
      <w:pPr>
        <w:rPr>
          <w:b/>
          <w:color w:val="000000"/>
        </w:rPr>
      </w:pPr>
      <w:r>
        <w:rPr>
          <w:b/>
          <w:color w:val="000000"/>
        </w:rPr>
        <w:t xml:space="preserve">Conclusão da resolução de </w:t>
      </w:r>
      <w:r>
        <w:rPr>
          <w:b/>
          <w:i/>
          <w:color w:val="000000"/>
        </w:rPr>
        <w:t>TGDCII (3ºs Casos Práticos)</w:t>
      </w:r>
      <w:r>
        <w:rPr>
          <w:b/>
          <w:color w:val="000000"/>
        </w:rPr>
        <w:t>.</w:t>
      </w:r>
    </w:p>
    <w:p w:rsidR="00EA2F5D" w:rsidRDefault="00EA2F5D">
      <w:pPr>
        <w:rPr>
          <w:b/>
          <w:color w:val="000000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lastRenderedPageBreak/>
        <w:t>Aula 11 (30/03/12)</w:t>
      </w:r>
    </w:p>
    <w:p w:rsidR="00EA2F5D" w:rsidRDefault="006273C5">
      <w:pPr>
        <w:rPr>
          <w:b/>
          <w:color w:val="FF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(Simulação de Julgamento)</w:t>
      </w:r>
      <w:r>
        <w:rPr>
          <w:b/>
          <w:color w:val="000000"/>
        </w:rPr>
        <w:t>.</w:t>
      </w:r>
    </w:p>
    <w:p w:rsidR="00EA2F5D" w:rsidRDefault="00EA2F5D">
      <w:pPr>
        <w:rPr>
          <w:b/>
          <w:color w:val="FF0000"/>
        </w:rPr>
      </w:pPr>
    </w:p>
    <w:p w:rsidR="00EA2F5D" w:rsidRDefault="00EA2F5D">
      <w:pPr>
        <w:jc w:val="both"/>
      </w:pPr>
    </w:p>
    <w:p w:rsidR="00EA2F5D" w:rsidRDefault="006273C5">
      <w:pPr>
        <w:pStyle w:val="Ttulo3"/>
        <w:spacing w:before="0" w:after="0"/>
        <w:jc w:val="center"/>
        <w:rPr>
          <w:color w:val="FF0000"/>
          <w:highlight w:val="yellow"/>
        </w:rPr>
      </w:pPr>
      <w:r>
        <w:rPr>
          <w:color w:val="FF0000"/>
          <w:highlight w:val="yellow"/>
        </w:rPr>
        <w:t>Férias da Páscoa</w:t>
      </w:r>
    </w:p>
    <w:p w:rsidR="00EA2F5D" w:rsidRDefault="00EA2F5D"/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12 (16/04/12)</w:t>
      </w:r>
    </w:p>
    <w:p w:rsidR="00EA2F5D" w:rsidRDefault="006273C5">
      <w:pPr>
        <w:rPr>
          <w:b/>
          <w:color w:val="000000"/>
        </w:rPr>
      </w:pPr>
      <w:r>
        <w:rPr>
          <w:b/>
          <w:color w:val="000000"/>
        </w:rPr>
        <w:t>Entrega e correcção dos testes.</w:t>
      </w:r>
    </w:p>
    <w:p w:rsidR="00EA2F5D" w:rsidRDefault="00EA2F5D">
      <w:pPr>
        <w:rPr>
          <w:b/>
          <w:color w:val="000000"/>
        </w:rPr>
      </w:pP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13 (20/04/12)</w:t>
      </w:r>
    </w:p>
    <w:p w:rsidR="00EA2F5D" w:rsidRDefault="006273C5">
      <w:pPr>
        <w:rPr>
          <w:b/>
          <w:color w:val="000000"/>
        </w:rPr>
      </w:pPr>
      <w:r>
        <w:rPr>
          <w:b/>
          <w:color w:val="000000"/>
        </w:rPr>
        <w:t>Resolução do Caso Prático X</w:t>
      </w:r>
    </w:p>
    <w:p w:rsidR="00EA2F5D" w:rsidRDefault="00EA2F5D">
      <w:pPr>
        <w:rPr>
          <w:b/>
          <w:color w:val="000000"/>
        </w:rPr>
      </w:pPr>
    </w:p>
    <w:p w:rsidR="00EA2F5D" w:rsidRDefault="006273C5">
      <w:pPr>
        <w:shd w:val="clear" w:color="auto" w:fill="EEECE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Hipótese X</w:t>
      </w:r>
    </w:p>
    <w:p w:rsidR="00EA2F5D" w:rsidRDefault="006273C5">
      <w:pPr>
        <w:shd w:val="clear" w:color="auto" w:fill="EEECE1"/>
        <w:jc w:val="both"/>
        <w:rPr>
          <w:b/>
        </w:rPr>
      </w:pPr>
      <w:r>
        <w:rPr>
          <w:b/>
        </w:rPr>
        <w:t>1º Negócio</w:t>
      </w:r>
    </w:p>
    <w:p w:rsidR="00EA2F5D" w:rsidRDefault="006273C5">
      <w:pPr>
        <w:shd w:val="clear" w:color="auto" w:fill="EEECE1"/>
        <w:jc w:val="both"/>
      </w:pPr>
      <w:r>
        <w:t xml:space="preserve">António e Bento celebraram uma convenção pela qual sujeitaria a escrito particular os negócios que viessem a celebrar relativamente à transmissão da Quinta de Caparide </w:t>
      </w:r>
      <w:r>
        <w:rPr>
          <w:u w:val="single"/>
        </w:rPr>
        <w:t>(1ª cláusula)</w:t>
      </w:r>
      <w:r>
        <w:t xml:space="preserve"> e seus equipamentos agrícolas </w:t>
      </w:r>
      <w:r>
        <w:rPr>
          <w:u w:val="single"/>
        </w:rPr>
        <w:t>(2ª cláusula).</w:t>
      </w:r>
    </w:p>
    <w:p w:rsidR="00EA2F5D" w:rsidRDefault="006273C5">
      <w:pPr>
        <w:shd w:val="clear" w:color="auto" w:fill="EEECE1"/>
        <w:tabs>
          <w:tab w:val="left" w:pos="5295"/>
        </w:tabs>
        <w:jc w:val="both"/>
        <w:rPr>
          <w:b/>
        </w:rPr>
      </w:pPr>
      <w:r>
        <w:rPr>
          <w:b/>
        </w:rPr>
        <w:t>1ª cláusula</w:t>
      </w:r>
    </w:p>
    <w:p w:rsidR="00EA2F5D" w:rsidRDefault="006273C5">
      <w:pPr>
        <w:shd w:val="clear" w:color="auto" w:fill="EEECE1"/>
        <w:tabs>
          <w:tab w:val="left" w:pos="5295"/>
        </w:tabs>
        <w:jc w:val="both"/>
      </w:pPr>
      <w:r>
        <w:t xml:space="preserve">Uma semana depois, A vende a B a referida quinta por um documento assinado por ambos, aquisição que Bento procurou inscrever no registo predial. </w:t>
      </w:r>
    </w:p>
    <w:p w:rsidR="00EA2F5D" w:rsidRDefault="006273C5">
      <w:pPr>
        <w:shd w:val="clear" w:color="auto" w:fill="EEECE1"/>
        <w:tabs>
          <w:tab w:val="left" w:pos="5295"/>
        </w:tabs>
        <w:jc w:val="both"/>
        <w:rPr>
          <w:b/>
        </w:rPr>
      </w:pPr>
      <w:r>
        <w:rPr>
          <w:b/>
        </w:rPr>
        <w:t>2ª cláusula</w:t>
      </w:r>
    </w:p>
    <w:p w:rsidR="00EA2F5D" w:rsidRDefault="006273C5">
      <w:pPr>
        <w:shd w:val="clear" w:color="auto" w:fill="EEECE1"/>
        <w:tabs>
          <w:tab w:val="left" w:pos="5295"/>
        </w:tabs>
        <w:jc w:val="both"/>
      </w:pPr>
      <w:r>
        <w:t>Nessa mesma semana A e B ajustaram verbalmente a venda das alfaias agrícolas pelo preço de 3000€ nunca tendo chegado a assinar qualquer documento.</w:t>
      </w:r>
    </w:p>
    <w:p w:rsidR="00EA2F5D" w:rsidRDefault="006273C5">
      <w:pPr>
        <w:shd w:val="clear" w:color="auto" w:fill="EEECE1"/>
        <w:tabs>
          <w:tab w:val="left" w:pos="5295"/>
        </w:tabs>
        <w:jc w:val="both"/>
        <w:rPr>
          <w:b/>
        </w:rPr>
      </w:pPr>
      <w:r>
        <w:rPr>
          <w:b/>
        </w:rPr>
        <w:t>2º negócio</w:t>
      </w:r>
    </w:p>
    <w:p w:rsidR="00EA2F5D" w:rsidRDefault="006273C5">
      <w:pPr>
        <w:shd w:val="clear" w:color="auto" w:fill="EEECE1"/>
        <w:tabs>
          <w:tab w:val="left" w:pos="5295"/>
        </w:tabs>
        <w:jc w:val="both"/>
      </w:pPr>
      <w:r>
        <w:t>Satisfeito com a prontidão do pagamento do preço das alfaias, A disse a B que lhe deixaria uma tonelada de uvas que haviam sido colhidas na última vindima o que B aceitou também oralmente.</w:t>
      </w:r>
    </w:p>
    <w:p w:rsidR="00EA2F5D" w:rsidRDefault="006273C5">
      <w:pPr>
        <w:shd w:val="clear" w:color="auto" w:fill="EEECE1"/>
        <w:tabs>
          <w:tab w:val="left" w:pos="5295"/>
        </w:tabs>
        <w:jc w:val="both"/>
      </w:pPr>
      <w:r>
        <w:t>Aprecie os negócios jurídicos em causa na prespectiva da sua validade.</w:t>
      </w:r>
      <w:r>
        <w:tab/>
      </w:r>
    </w:p>
    <w:p w:rsidR="00EA2F5D" w:rsidRDefault="00EA2F5D">
      <w:pPr>
        <w:jc w:val="both"/>
      </w:pPr>
    </w:p>
    <w:p w:rsidR="00EA2F5D" w:rsidRDefault="006273C5">
      <w:pPr>
        <w:jc w:val="both"/>
        <w:rPr>
          <w:b/>
          <w:u w:val="single"/>
        </w:rPr>
      </w:pPr>
      <w:r>
        <w:rPr>
          <w:b/>
          <w:u w:val="single"/>
        </w:rPr>
        <w:t>Resolução do caso:</w:t>
      </w:r>
    </w:p>
    <w:p w:rsidR="00EA2F5D" w:rsidRDefault="006273C5">
      <w:pPr>
        <w:numPr>
          <w:ilvl w:val="0"/>
          <w:numId w:val="25"/>
        </w:numPr>
        <w:jc w:val="both"/>
      </w:pPr>
      <w:r>
        <w:rPr>
          <w:b/>
        </w:rPr>
        <w:t>O 1º negócio é um negócio preparatório</w:t>
      </w:r>
      <w:r>
        <w:t xml:space="preserve"> sobre a forma de convenção e previsto no artigo 223.º/1 do Código Civil.</w:t>
      </w:r>
    </w:p>
    <w:p w:rsidR="00EA2F5D" w:rsidRDefault="006273C5">
      <w:pPr>
        <w:numPr>
          <w:ilvl w:val="0"/>
          <w:numId w:val="25"/>
        </w:numPr>
        <w:jc w:val="both"/>
      </w:pPr>
      <w:r>
        <w:lastRenderedPageBreak/>
        <w:t>Esta convenção quanto à forma tem duas cláusulas (a forma da convenção segue o princípio do consensualismo, artigo 219.º):</w:t>
      </w:r>
    </w:p>
    <w:p w:rsidR="00EA2F5D" w:rsidRDefault="006273C5">
      <w:pPr>
        <w:numPr>
          <w:ilvl w:val="1"/>
          <w:numId w:val="25"/>
        </w:numPr>
        <w:jc w:val="both"/>
        <w:rPr>
          <w:u w:val="single"/>
        </w:rPr>
      </w:pPr>
      <w:r>
        <w:t xml:space="preserve">O artigo 875.º consagra uma forma especial a qual, por ser uma norma injuntiva/imperativa, não pode ser afastada. A violação dessa norma leva à nulidade do negócio como dispõem os artigos 280.º e 294.º. </w:t>
      </w:r>
      <w:r>
        <w:rPr>
          <w:u w:val="single"/>
        </w:rPr>
        <w:t>Assim, a 1ª cláusula é inválida.</w:t>
      </w:r>
    </w:p>
    <w:p w:rsidR="00EA2F5D" w:rsidRDefault="006273C5">
      <w:pPr>
        <w:numPr>
          <w:ilvl w:val="1"/>
          <w:numId w:val="25"/>
        </w:numPr>
        <w:jc w:val="both"/>
        <w:rPr>
          <w:u w:val="single"/>
        </w:rPr>
      </w:pPr>
      <w:r>
        <w:t xml:space="preserve">Sendo a regra para a venda das alfaias agrícolas a da liberdade de forma e, sendo a forma da 2ª cláusula ainda mais exigente, </w:t>
      </w:r>
      <w:r>
        <w:rPr>
          <w:u w:val="single"/>
        </w:rPr>
        <w:t>a 2ª cláusula é válida.</w:t>
      </w:r>
    </w:p>
    <w:p w:rsidR="00EA2F5D" w:rsidRDefault="006273C5">
      <w:pPr>
        <w:numPr>
          <w:ilvl w:val="0"/>
          <w:numId w:val="25"/>
        </w:numPr>
        <w:jc w:val="both"/>
        <w:rPr>
          <w:u w:val="single"/>
        </w:rPr>
      </w:pPr>
      <w:r>
        <w:rPr>
          <w:b/>
        </w:rPr>
        <w:t>Chegados aqui, estamos perante um negócio em que uma das cláusulas é válida enquanto a outra não o é. O negócio é nulo?</w:t>
      </w:r>
      <w:r>
        <w:t xml:space="preserve"> De acordo com o disposto no artigo 292.º o negócio não é nulo, deve-se aproveitar a parte viciada a menos que esta fosse essencial para o negócio. </w:t>
      </w:r>
      <w:r>
        <w:rPr>
          <w:u w:val="single"/>
        </w:rPr>
        <w:t>Assim, como fazê-lo?</w:t>
      </w:r>
      <w:r>
        <w:t xml:space="preserve"> Atendendo ao disposto no artigo 293.º. Convertemos o negócio outrora de compra e venda, com obrigatoriedade de forma, num contrato-promessa, predominando a liberdade de forma. </w:t>
      </w:r>
    </w:p>
    <w:p w:rsidR="00EA2F5D" w:rsidRDefault="006273C5">
      <w:pPr>
        <w:numPr>
          <w:ilvl w:val="0"/>
          <w:numId w:val="25"/>
        </w:numPr>
        <w:jc w:val="both"/>
        <w:rPr>
          <w:u w:val="single"/>
        </w:rPr>
      </w:pPr>
      <w:r>
        <w:rPr>
          <w:b/>
        </w:rPr>
        <w:t>Relativamente à 2ª cláusula</w:t>
      </w:r>
      <w:r>
        <w:t xml:space="preserve">, tem ainda que se dizer que apesar de ser válida desrespeita a forma convencionada e por essa razão seria nulo o negócio específico envolvendo essa cláusula. No seguimento, ou se presume que não se quiseram vincular e trata-se apenas de um convite a contratar, ou, sendo uma presunção elidível que logo pode ser afastada, presume-se que de facto se quiseram vincular e que logo é revogada tacitamente a convenção anterior ao abrigo do artigo 406.º/1. </w:t>
      </w:r>
      <w:r>
        <w:rPr>
          <w:b/>
          <w:color w:val="FF0000"/>
        </w:rPr>
        <w:t xml:space="preserve">Ver livro do Professor José Alberto Vieira sobre o negócio jurídico. </w:t>
      </w:r>
    </w:p>
    <w:p w:rsidR="00EA2F5D" w:rsidRDefault="006273C5">
      <w:pPr>
        <w:ind w:left="360"/>
        <w:jc w:val="both"/>
      </w:pPr>
      <w:r>
        <w:rPr>
          <w:u w:val="single"/>
        </w:rPr>
        <w:t>Nota:</w:t>
      </w:r>
      <w:r>
        <w:t xml:space="preserve"> Para o Professor Carvalho Fernandes e para outros professores negócios desde tipo são válidos mas ineficazes, ou seja, só produzirão efeitos quando for adoptada a forma.</w:t>
      </w:r>
    </w:p>
    <w:p w:rsidR="00EA2F5D" w:rsidRDefault="006273C5">
      <w:pPr>
        <w:pStyle w:val="PargrafodaLista"/>
        <w:numPr>
          <w:ilvl w:val="0"/>
          <w:numId w:val="26"/>
        </w:numPr>
        <w:jc w:val="both"/>
        <w:rPr>
          <w:b/>
          <w:color w:val="000000"/>
          <w:u w:val="single"/>
        </w:rPr>
      </w:pPr>
      <w:r>
        <w:rPr>
          <w:b/>
        </w:rPr>
        <w:t>Sobre o 2º negócio, a doação das uvas:</w:t>
      </w:r>
      <w:r>
        <w:t xml:space="preserve"> o regime das doações é claro quando explica que o negócio envolvendo uma doação só é válido se: no caso de se tratar de uma coisa imóvel for celebrado por escritura pública ou por documento particular autenticado, artigo 947.º/1; se for uma coisa imóvel a doação só é válida se for acompanhada da entrega da coisa, ou seja, negócio </w:t>
      </w:r>
      <w:r>
        <w:rPr>
          <w:i/>
        </w:rPr>
        <w:t>quoad constitutionem</w:t>
      </w:r>
      <w:r>
        <w:t xml:space="preserve">, artigo 947.º/2/1ª parte, ou, não sendo acompanhada da tradição da coisa, só pode é válida se feita por escrito, artigo 947.º/2/2ª parte. </w:t>
      </w:r>
    </w:p>
    <w:p w:rsidR="00EA2F5D" w:rsidRDefault="006273C5">
      <w:pPr>
        <w:pStyle w:val="PargrafodaLista"/>
        <w:ind w:left="360"/>
        <w:jc w:val="both"/>
        <w:rPr>
          <w:b/>
          <w:color w:val="000000"/>
          <w:u w:val="single"/>
        </w:rPr>
      </w:pPr>
      <w:r>
        <w:t xml:space="preserve">Assim, tratando-se as uvas de coisas imóveis e, não respeitando a sua doação o regime de forma previsto no 947.º/2 a doação é inválida.  </w:t>
      </w: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lastRenderedPageBreak/>
        <w:t>Aula 14 (23/04/12)</w:t>
      </w:r>
    </w:p>
    <w:p w:rsidR="00EA2F5D" w:rsidRDefault="006273C5">
      <w:pPr>
        <w:rPr>
          <w:b/>
          <w:i/>
          <w:color w:val="00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(4ºs Casos Práticos).</w:t>
      </w:r>
    </w:p>
    <w:p w:rsidR="00EA2F5D" w:rsidRDefault="00EA2F5D"/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15 (27/04/12)</w:t>
      </w:r>
    </w:p>
    <w:p w:rsidR="00EA2F5D" w:rsidRDefault="006273C5">
      <w:r>
        <w:rPr>
          <w:b/>
        </w:rPr>
        <w:t xml:space="preserve">Conclusão da resolução de </w:t>
      </w:r>
      <w:r>
        <w:rPr>
          <w:b/>
          <w:i/>
          <w:color w:val="000000"/>
        </w:rPr>
        <w:t>TGDCII (4ºs Casos Práticos).</w:t>
      </w:r>
    </w:p>
    <w:p w:rsidR="00EA2F5D" w:rsidRDefault="00EA2F5D">
      <w:pPr>
        <w:jc w:val="both"/>
      </w:pPr>
    </w:p>
    <w:p w:rsidR="00EA2F5D" w:rsidRDefault="00EA2F5D">
      <w:pPr>
        <w:jc w:val="both"/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16 (30/04/12)</w:t>
      </w:r>
    </w:p>
    <w:p w:rsidR="00EA2F5D" w:rsidRDefault="006273C5">
      <w:r>
        <w:rPr>
          <w:b/>
        </w:rPr>
        <w:t xml:space="preserve">Ensaio para </w:t>
      </w:r>
      <w:r>
        <w:rPr>
          <w:b/>
          <w:i/>
          <w:color w:val="000000"/>
        </w:rPr>
        <w:t>TGDCII (Simulação de Julgamento).</w:t>
      </w: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17 (04/05/12)</w:t>
      </w:r>
    </w:p>
    <w:p w:rsidR="00EA2F5D" w:rsidRDefault="006273C5">
      <w:pPr>
        <w:rPr>
          <w:b/>
          <w:i/>
          <w:color w:val="00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(5ºs Casos Práticos).</w:t>
      </w: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18 (07/05/12)</w:t>
      </w:r>
    </w:p>
    <w:p w:rsidR="00EA2F5D" w:rsidRDefault="006273C5">
      <w:pPr>
        <w:rPr>
          <w:b/>
          <w:i/>
          <w:color w:val="00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(6ºs Casos Práticos).</w:t>
      </w:r>
    </w:p>
    <w:p w:rsidR="00EA2F5D" w:rsidRDefault="00EA2F5D">
      <w:pPr>
        <w:pStyle w:val="Ttulo3"/>
        <w:spacing w:before="0" w:after="0"/>
        <w:rPr>
          <w:highlight w:val="red"/>
        </w:rPr>
      </w:pPr>
    </w:p>
    <w:p w:rsidR="00EA2F5D" w:rsidRDefault="006273C5">
      <w:pPr>
        <w:pStyle w:val="Ttulo3"/>
        <w:spacing w:before="0" w:after="0"/>
        <w:rPr>
          <w:highlight w:val="red"/>
        </w:rPr>
      </w:pPr>
      <w:r>
        <w:rPr>
          <w:highlight w:val="red"/>
        </w:rPr>
        <w:t>Aula 19 (11/05/12)</w:t>
      </w:r>
    </w:p>
    <w:p w:rsidR="00EA2F5D" w:rsidRDefault="006273C5">
      <w:pPr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Resolução de </w:t>
      </w:r>
      <w:r>
        <w:rPr>
          <w:b/>
          <w:i/>
          <w:color w:val="000000"/>
        </w:rPr>
        <w:t>TGDCII (7ºs Casos Práticos).</w:t>
      </w:r>
    </w:p>
    <w:p w:rsidR="00EB67EB" w:rsidRDefault="00EB67EB" w:rsidP="00EB67EB">
      <w:pPr>
        <w:rPr>
          <w:b/>
          <w:color w:val="000000"/>
        </w:rPr>
      </w:pPr>
      <w:r>
        <w:rPr>
          <w:b/>
          <w:color w:val="000000"/>
        </w:rPr>
        <w:t>Resolução do Caso Prático Y</w:t>
      </w:r>
    </w:p>
    <w:p w:rsidR="00C07759" w:rsidRDefault="00C07759" w:rsidP="00EB67EB">
      <w:pPr>
        <w:rPr>
          <w:b/>
          <w:color w:val="000000"/>
        </w:rPr>
      </w:pPr>
    </w:p>
    <w:p w:rsidR="00C07759" w:rsidRDefault="00C07759" w:rsidP="00C07759">
      <w:pPr>
        <w:pStyle w:val="PargrafodaLista"/>
        <w:numPr>
          <w:ilvl w:val="0"/>
          <w:numId w:val="28"/>
        </w:numPr>
        <w:jc w:val="both"/>
      </w:pPr>
      <w:r>
        <w:t xml:space="preserve">Erro sobre as circunstancias presentes ou </w:t>
      </w:r>
      <w:proofErr w:type="spellStart"/>
      <w:r>
        <w:t>passasdas</w:t>
      </w:r>
      <w:proofErr w:type="spellEnd"/>
      <w:r>
        <w:t xml:space="preserve">, artigo 252.º/2 que remete para o artigo 437.º, vg varanda alugada já o rei tava doente; </w:t>
      </w:r>
    </w:p>
    <w:p w:rsidR="00C07759" w:rsidRDefault="00C07759" w:rsidP="00C07759">
      <w:pPr>
        <w:pStyle w:val="PargrafodaLista"/>
        <w:numPr>
          <w:ilvl w:val="0"/>
          <w:numId w:val="28"/>
        </w:numPr>
        <w:jc w:val="both"/>
      </w:pPr>
      <w:r>
        <w:t xml:space="preserve">A e B alugam mas só depois o rei doente, alteração das circunstancias, artigo 437.º </w:t>
      </w:r>
    </w:p>
    <w:p w:rsidR="00C07759" w:rsidRPr="00C07759" w:rsidRDefault="00C07759" w:rsidP="00C07759">
      <w:pPr>
        <w:pStyle w:val="PargrafodaLista"/>
        <w:ind w:left="360"/>
        <w:jc w:val="both"/>
        <w:rPr>
          <w:b/>
          <w:u w:val="single"/>
        </w:rPr>
      </w:pPr>
      <w:r>
        <w:t>Se A e B n estiverem de acordo na modificação, diz o Professor Oliveira Ascensão que não pode uma das partes pedir alteração, ao abrigo do 437.º Diz-se que se A pede a resolução, B pode preferir a modificação por juízos de equidade.</w:t>
      </w:r>
    </w:p>
    <w:p w:rsidR="00C07759" w:rsidRDefault="00C07759" w:rsidP="00C07759">
      <w:pPr>
        <w:jc w:val="both"/>
        <w:rPr>
          <w:b/>
          <w:u w:val="single"/>
        </w:rPr>
      </w:pPr>
    </w:p>
    <w:p w:rsidR="00C07759" w:rsidRDefault="00C07759" w:rsidP="00C07759">
      <w:pPr>
        <w:jc w:val="both"/>
        <w:rPr>
          <w:b/>
          <w:u w:val="single"/>
        </w:rPr>
      </w:pPr>
      <w:r>
        <w:t>Nota: há condições que podem ser certas!</w:t>
      </w:r>
    </w:p>
    <w:p w:rsidR="00EA2F5D" w:rsidRDefault="00EA2F5D">
      <w:pPr>
        <w:jc w:val="both"/>
      </w:pPr>
    </w:p>
    <w:p w:rsidR="00C07759" w:rsidRDefault="00C07759">
      <w:pPr>
        <w:jc w:val="both"/>
      </w:pPr>
    </w:p>
    <w:p w:rsidR="00C07759" w:rsidRDefault="00C07759">
      <w:pPr>
        <w:jc w:val="both"/>
      </w:pPr>
    </w:p>
    <w:p w:rsidR="00C07759" w:rsidRDefault="00C07759">
      <w:pPr>
        <w:jc w:val="both"/>
      </w:pPr>
    </w:p>
    <w:p w:rsidR="00EB67EB" w:rsidRDefault="00EB67EB" w:rsidP="00EB67EB">
      <w:pPr>
        <w:shd w:val="clear" w:color="auto" w:fill="DDD9C3" w:themeFill="background2" w:themeFillShade="E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Hipótese y</w:t>
      </w:r>
    </w:p>
    <w:p w:rsidR="00EA2F5D" w:rsidRDefault="006273C5" w:rsidP="00EB67EB">
      <w:pPr>
        <w:shd w:val="clear" w:color="auto" w:fill="DDD9C3" w:themeFill="background2" w:themeFillShade="E6"/>
        <w:jc w:val="both"/>
      </w:pPr>
      <w:r>
        <w:t xml:space="preserve">M foi jantar a casa da sogra e saiu de lá muito mal disposto, em situação de aflição a pensar que ia morrer. Liga a N, médico conhecido, que face à situação lhe cobra 400€ para o ver, quando normalmente cobraria 100€. </w:t>
      </w:r>
    </w:p>
    <w:p w:rsidR="00EB67EB" w:rsidRDefault="00EB67EB">
      <w:pPr>
        <w:jc w:val="both"/>
        <w:rPr>
          <w:b/>
        </w:rPr>
      </w:pPr>
    </w:p>
    <w:p w:rsidR="00EA2F5D" w:rsidRPr="00EB67EB" w:rsidRDefault="006273C5">
      <w:pPr>
        <w:jc w:val="both"/>
        <w:rPr>
          <w:b/>
          <w:u w:val="single"/>
        </w:rPr>
      </w:pPr>
      <w:r w:rsidRPr="00EB67EB">
        <w:rPr>
          <w:b/>
          <w:u w:val="single"/>
        </w:rPr>
        <w:t>Resolução do caso</w:t>
      </w:r>
      <w:r w:rsidR="00EB67EB">
        <w:rPr>
          <w:b/>
          <w:u w:val="single"/>
        </w:rPr>
        <w:t>:</w:t>
      </w:r>
    </w:p>
    <w:p w:rsidR="00EA2F5D" w:rsidRDefault="006273C5">
      <w:pPr>
        <w:jc w:val="both"/>
      </w:pPr>
      <w:r>
        <w:t xml:space="preserve">Há uma questão de usura, artigo 282.º/1. Como consequência, o negócio usurário é anulável, 283.º/1. Tem </w:t>
      </w:r>
      <w:r w:rsidR="00EB67EB">
        <w:t>legitimidade</w:t>
      </w:r>
      <w:r>
        <w:t xml:space="preserve"> para pedir </w:t>
      </w:r>
      <w:r w:rsidR="00EB67EB">
        <w:t>anulabilidade</w:t>
      </w:r>
      <w:r>
        <w:t xml:space="preserve">, M, 287.º/1 que, em alternativa, pode pedir também a modificação segundo juízos de equidade. Neste caso tratava-se de reduzir o preço para 100€. Todavia, se anulasse era tudo </w:t>
      </w:r>
      <w:r w:rsidR="00EB67EB">
        <w:t>restituído</w:t>
      </w:r>
      <w:r>
        <w:t>, n</w:t>
      </w:r>
      <w:r w:rsidR="00EB67EB">
        <w:t>ão</w:t>
      </w:r>
      <w:r>
        <w:t xml:space="preserve"> só 300€, 289.º/1. Porém, não podendo devolver a consulta em </w:t>
      </w:r>
      <w:r w:rsidR="00EB67EB">
        <w:t>espécie, devolve os 100€ da consulta.</w:t>
      </w:r>
    </w:p>
    <w:p w:rsidR="001F287F" w:rsidRDefault="001F287F">
      <w:pPr>
        <w:jc w:val="both"/>
      </w:pPr>
    </w:p>
    <w:p w:rsidR="001F287F" w:rsidRPr="001F287F" w:rsidRDefault="001F287F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As outras aulas que não estão aqui identificadas foram apenas e só resolução dos casos práticos. </w:t>
      </w:r>
    </w:p>
    <w:sectPr w:rsidR="001F287F" w:rsidRPr="001F287F" w:rsidSect="00EA2F5D">
      <w:pgSz w:w="11906" w:h="16838"/>
      <w:pgMar w:top="1417" w:right="1701" w:bottom="1417" w:left="1701" w:header="851" w:footer="992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A7E"/>
    <w:multiLevelType w:val="multilevel"/>
    <w:tmpl w:val="D35E76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01FD7F85"/>
    <w:multiLevelType w:val="multilevel"/>
    <w:tmpl w:val="E6E214F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41016D3"/>
    <w:multiLevelType w:val="hybridMultilevel"/>
    <w:tmpl w:val="C4E625A6"/>
    <w:lvl w:ilvl="0" w:tplc="DEFAA3E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568E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A24B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F0BE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D20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6620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213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864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EE91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940C9F"/>
    <w:multiLevelType w:val="hybridMultilevel"/>
    <w:tmpl w:val="CDA6E5AA"/>
    <w:lvl w:ilvl="0" w:tplc="5888CF4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D6D4FC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A40209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83CC7F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7DE0F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A8E083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E5A6CC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BAA5D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69CC8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EA910AB"/>
    <w:multiLevelType w:val="hybridMultilevel"/>
    <w:tmpl w:val="3F089D2E"/>
    <w:lvl w:ilvl="0" w:tplc="916083DE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70AA91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250801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8C5E0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BEE8D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594C5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798CF2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D050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B144A8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5D832F5"/>
    <w:multiLevelType w:val="multilevel"/>
    <w:tmpl w:val="2236C1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7B52A3B"/>
    <w:multiLevelType w:val="hybridMultilevel"/>
    <w:tmpl w:val="92C05B4A"/>
    <w:lvl w:ilvl="0" w:tplc="C2A82582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320087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896946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282C9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E368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ADABD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C040C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F8476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1DE803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BE2574D"/>
    <w:multiLevelType w:val="hybridMultilevel"/>
    <w:tmpl w:val="D5DCD3E0"/>
    <w:lvl w:ilvl="0" w:tplc="E01E73B8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C220F9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4764CD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A827AA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D82F3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92A7C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FF0F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EB40E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A00E2C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1D520813"/>
    <w:multiLevelType w:val="multilevel"/>
    <w:tmpl w:val="C4DE2E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22DE4CE1"/>
    <w:multiLevelType w:val="hybridMultilevel"/>
    <w:tmpl w:val="551C85A4"/>
    <w:lvl w:ilvl="0" w:tplc="4CA849C2">
      <w:start w:val="1"/>
      <w:numFmt w:val="decimal"/>
      <w:lvlText w:val="%1."/>
      <w:lvlJc w:val="left"/>
      <w:pPr>
        <w:ind w:left="360" w:hanging="360"/>
      </w:pPr>
    </w:lvl>
    <w:lvl w:ilvl="1" w:tplc="FCE8139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7C5651B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226B0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312E73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05CB4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B98B4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E60235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004BE0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0">
    <w:nsid w:val="235A7BB1"/>
    <w:multiLevelType w:val="hybridMultilevel"/>
    <w:tmpl w:val="EE4211CE"/>
    <w:lvl w:ilvl="0" w:tplc="8DD4A7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588310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F16D9E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FE0D0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618319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79E8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310DA0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6A9EC8E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AFC285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1">
    <w:nsid w:val="2C20146D"/>
    <w:multiLevelType w:val="hybridMultilevel"/>
    <w:tmpl w:val="AFC0E54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D0518F"/>
    <w:multiLevelType w:val="multilevel"/>
    <w:tmpl w:val="4780544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36A467B5"/>
    <w:multiLevelType w:val="hybridMultilevel"/>
    <w:tmpl w:val="8D047ED8"/>
    <w:lvl w:ilvl="0" w:tplc="844E310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BE02DE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B2CF77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AF02BC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15ED8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9CE71C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3CAEF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1AB7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308C0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37545487"/>
    <w:multiLevelType w:val="hybridMultilevel"/>
    <w:tmpl w:val="32F43058"/>
    <w:lvl w:ilvl="0" w:tplc="13FC11E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903CEBB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4CEEA47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A7A0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9248C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E8C4D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24CC0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D96C2E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06A2B81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>
    <w:nsid w:val="425E4987"/>
    <w:multiLevelType w:val="hybridMultilevel"/>
    <w:tmpl w:val="2B54B66A"/>
    <w:lvl w:ilvl="0" w:tplc="8B7CB57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ACA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EC438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CEF5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84F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6C30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A22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86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1C9F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6E92E64"/>
    <w:multiLevelType w:val="hybridMultilevel"/>
    <w:tmpl w:val="FBEAE8EA"/>
    <w:lvl w:ilvl="0" w:tplc="0636802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5E88DE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740F4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7743A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F42F0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83C540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75CBCC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9F29E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C9EEE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4D9F0835"/>
    <w:multiLevelType w:val="hybridMultilevel"/>
    <w:tmpl w:val="0B7012E6"/>
    <w:lvl w:ilvl="0" w:tplc="7CC2B7D8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588A30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A0EB46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DD4E41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E4C85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5D060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E00431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0D696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DAE1D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E863D8C"/>
    <w:multiLevelType w:val="hybridMultilevel"/>
    <w:tmpl w:val="D7DE0FBC"/>
    <w:lvl w:ilvl="0" w:tplc="F5BE322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7DA472A2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2" w:tplc="1600686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CD497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64C24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CAC71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2E61CD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BF291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6A69F5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F41341E"/>
    <w:multiLevelType w:val="hybridMultilevel"/>
    <w:tmpl w:val="4BF697D6"/>
    <w:lvl w:ilvl="0" w:tplc="7D2A217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616923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E5E3F7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C629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45617A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818BE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AF81E5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A22593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BB494D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0">
    <w:nsid w:val="55B53DC3"/>
    <w:multiLevelType w:val="hybridMultilevel"/>
    <w:tmpl w:val="664E3ECA"/>
    <w:lvl w:ilvl="0" w:tplc="58E256F2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29207E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8CED86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2AEB8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5F669A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FB6A7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BB0D2C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1CA017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D743DF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1">
    <w:nsid w:val="63632BA8"/>
    <w:multiLevelType w:val="multilevel"/>
    <w:tmpl w:val="F97E20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64683C16"/>
    <w:multiLevelType w:val="hybridMultilevel"/>
    <w:tmpl w:val="9D1814F0"/>
    <w:lvl w:ilvl="0" w:tplc="84D8DBEC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75084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15C5CA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D6C54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C2652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9C28B4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56E91D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AD0B5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4AC33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64850AAC"/>
    <w:multiLevelType w:val="hybridMultilevel"/>
    <w:tmpl w:val="4F5A8D8C"/>
    <w:lvl w:ilvl="0" w:tplc="94EA63E6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D2280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24CBB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A9CF9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DF8C9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480756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82486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F0C55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20082D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6E2B3FF2"/>
    <w:multiLevelType w:val="hybridMultilevel"/>
    <w:tmpl w:val="BB16E6DA"/>
    <w:lvl w:ilvl="0" w:tplc="DD84D384">
      <w:start w:val="1"/>
      <w:numFmt w:val="decimal"/>
      <w:lvlText w:val="%1."/>
      <w:lvlJc w:val="left"/>
      <w:pPr>
        <w:ind w:left="360" w:hanging="360"/>
      </w:pPr>
    </w:lvl>
    <w:lvl w:ilvl="1" w:tplc="E722BC64">
      <w:start w:val="1"/>
      <w:numFmt w:val="lowerLetter"/>
      <w:lvlText w:val="%2."/>
      <w:lvlJc w:val="left"/>
      <w:pPr>
        <w:ind w:left="720" w:hanging="360"/>
      </w:pPr>
    </w:lvl>
    <w:lvl w:ilvl="2" w:tplc="C7386578">
      <w:start w:val="1"/>
      <w:numFmt w:val="lowerRoman"/>
      <w:lvlText w:val="%3."/>
      <w:lvlJc w:val="right"/>
      <w:pPr>
        <w:ind w:left="1080" w:hanging="360"/>
      </w:pPr>
    </w:lvl>
    <w:lvl w:ilvl="3" w:tplc="39BA0F50">
      <w:start w:val="1"/>
      <w:numFmt w:val="decimal"/>
      <w:lvlText w:val="%4."/>
      <w:lvlJc w:val="left"/>
      <w:pPr>
        <w:ind w:left="1440" w:hanging="360"/>
      </w:pPr>
    </w:lvl>
    <w:lvl w:ilvl="4" w:tplc="DE3A0A5C">
      <w:start w:val="1"/>
      <w:numFmt w:val="lowerLetter"/>
      <w:lvlText w:val="%5."/>
      <w:lvlJc w:val="left"/>
      <w:pPr>
        <w:ind w:left="1800" w:hanging="360"/>
      </w:pPr>
    </w:lvl>
    <w:lvl w:ilvl="5" w:tplc="A5B0C416">
      <w:start w:val="1"/>
      <w:numFmt w:val="lowerRoman"/>
      <w:lvlText w:val="%6."/>
      <w:lvlJc w:val="right"/>
      <w:pPr>
        <w:ind w:left="2160" w:hanging="360"/>
      </w:pPr>
    </w:lvl>
    <w:lvl w:ilvl="6" w:tplc="F23C8DB6">
      <w:start w:val="1"/>
      <w:numFmt w:val="decimal"/>
      <w:lvlText w:val="%7."/>
      <w:lvlJc w:val="left"/>
      <w:pPr>
        <w:ind w:left="2520" w:hanging="360"/>
      </w:pPr>
    </w:lvl>
    <w:lvl w:ilvl="7" w:tplc="E5FA267E">
      <w:start w:val="1"/>
      <w:numFmt w:val="lowerLetter"/>
      <w:lvlText w:val="%8."/>
      <w:lvlJc w:val="left"/>
      <w:pPr>
        <w:ind w:left="2880" w:hanging="360"/>
      </w:pPr>
    </w:lvl>
    <w:lvl w:ilvl="8" w:tplc="35EE54BC">
      <w:start w:val="1"/>
      <w:numFmt w:val="lowerRoman"/>
      <w:lvlText w:val="%9."/>
      <w:lvlJc w:val="right"/>
      <w:pPr>
        <w:ind w:left="3240" w:hanging="360"/>
      </w:pPr>
    </w:lvl>
  </w:abstractNum>
  <w:abstractNum w:abstractNumId="25">
    <w:nsid w:val="70A9528D"/>
    <w:multiLevelType w:val="hybridMultilevel"/>
    <w:tmpl w:val="676AD1A8"/>
    <w:lvl w:ilvl="0" w:tplc="DAA4694A">
      <w:start w:val="1"/>
      <w:numFmt w:val="decimal"/>
      <w:lvlText w:val="%1."/>
      <w:lvlJc w:val="left"/>
      <w:pPr>
        <w:ind w:left="360" w:hanging="360"/>
      </w:pPr>
    </w:lvl>
    <w:lvl w:ilvl="1" w:tplc="A9B04952">
      <w:start w:val="1"/>
      <w:numFmt w:val="lowerLetter"/>
      <w:lvlText w:val="%2."/>
      <w:lvlJc w:val="left"/>
      <w:pPr>
        <w:ind w:left="720" w:hanging="360"/>
      </w:pPr>
    </w:lvl>
    <w:lvl w:ilvl="2" w:tplc="5202757C">
      <w:start w:val="1"/>
      <w:numFmt w:val="lowerRoman"/>
      <w:lvlText w:val="%3."/>
      <w:lvlJc w:val="right"/>
      <w:pPr>
        <w:ind w:left="1080" w:hanging="360"/>
      </w:pPr>
    </w:lvl>
    <w:lvl w:ilvl="3" w:tplc="7DE42CD4">
      <w:start w:val="1"/>
      <w:numFmt w:val="decimal"/>
      <w:lvlText w:val="%4."/>
      <w:lvlJc w:val="left"/>
      <w:pPr>
        <w:ind w:left="1440" w:hanging="360"/>
      </w:pPr>
    </w:lvl>
    <w:lvl w:ilvl="4" w:tplc="41FAA460">
      <w:start w:val="1"/>
      <w:numFmt w:val="lowerLetter"/>
      <w:lvlText w:val="%5."/>
      <w:lvlJc w:val="left"/>
      <w:pPr>
        <w:ind w:left="1800" w:hanging="360"/>
      </w:pPr>
    </w:lvl>
    <w:lvl w:ilvl="5" w:tplc="6D7CAE04">
      <w:start w:val="1"/>
      <w:numFmt w:val="lowerRoman"/>
      <w:lvlText w:val="%6."/>
      <w:lvlJc w:val="right"/>
      <w:pPr>
        <w:ind w:left="2160" w:hanging="360"/>
      </w:pPr>
    </w:lvl>
    <w:lvl w:ilvl="6" w:tplc="4B323732">
      <w:start w:val="1"/>
      <w:numFmt w:val="decimal"/>
      <w:lvlText w:val="%7."/>
      <w:lvlJc w:val="left"/>
      <w:pPr>
        <w:ind w:left="2520" w:hanging="360"/>
      </w:pPr>
    </w:lvl>
    <w:lvl w:ilvl="7" w:tplc="ED964102">
      <w:start w:val="1"/>
      <w:numFmt w:val="lowerLetter"/>
      <w:lvlText w:val="%8."/>
      <w:lvlJc w:val="left"/>
      <w:pPr>
        <w:ind w:left="2880" w:hanging="360"/>
      </w:pPr>
    </w:lvl>
    <w:lvl w:ilvl="8" w:tplc="529A748A">
      <w:start w:val="1"/>
      <w:numFmt w:val="lowerRoman"/>
      <w:lvlText w:val="%9."/>
      <w:lvlJc w:val="right"/>
      <w:pPr>
        <w:ind w:left="3240" w:hanging="360"/>
      </w:pPr>
    </w:lvl>
  </w:abstractNum>
  <w:abstractNum w:abstractNumId="26">
    <w:nsid w:val="71B4493D"/>
    <w:multiLevelType w:val="hybridMultilevel"/>
    <w:tmpl w:val="E77AE8C0"/>
    <w:lvl w:ilvl="0" w:tplc="9570503A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4064890A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2" w:tplc="D6DEBFC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B50D30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52CDC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370C3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692AC9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4801C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768300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770C6246"/>
    <w:multiLevelType w:val="hybridMultilevel"/>
    <w:tmpl w:val="D2F6A79C"/>
    <w:lvl w:ilvl="0" w:tplc="89307452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113434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9E8FC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C94CA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90406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A1880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EA48B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0E684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ECCA5D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12"/>
  </w:num>
  <w:num w:numId="5">
    <w:abstractNumId w:val="1"/>
  </w:num>
  <w:num w:numId="6">
    <w:abstractNumId w:val="27"/>
  </w:num>
  <w:num w:numId="7">
    <w:abstractNumId w:val="2"/>
  </w:num>
  <w:num w:numId="8">
    <w:abstractNumId w:val="18"/>
  </w:num>
  <w:num w:numId="9">
    <w:abstractNumId w:val="26"/>
  </w:num>
  <w:num w:numId="10">
    <w:abstractNumId w:val="3"/>
  </w:num>
  <w:num w:numId="11">
    <w:abstractNumId w:val="6"/>
  </w:num>
  <w:num w:numId="12">
    <w:abstractNumId w:val="22"/>
  </w:num>
  <w:num w:numId="13">
    <w:abstractNumId w:val="4"/>
  </w:num>
  <w:num w:numId="14">
    <w:abstractNumId w:val="10"/>
  </w:num>
  <w:num w:numId="15">
    <w:abstractNumId w:val="24"/>
  </w:num>
  <w:num w:numId="16">
    <w:abstractNumId w:val="7"/>
  </w:num>
  <w:num w:numId="17">
    <w:abstractNumId w:val="23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14"/>
  </w:num>
  <w:num w:numId="23">
    <w:abstractNumId w:val="9"/>
  </w:num>
  <w:num w:numId="24">
    <w:abstractNumId w:val="15"/>
  </w:num>
  <w:num w:numId="25">
    <w:abstractNumId w:val="0"/>
  </w:num>
  <w:num w:numId="26">
    <w:abstractNumId w:val="13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9D"/>
    <w:rsid w:val="0001659A"/>
    <w:rsid w:val="0003621D"/>
    <w:rsid w:val="00091C58"/>
    <w:rsid w:val="000B16F1"/>
    <w:rsid w:val="000C0D9D"/>
    <w:rsid w:val="000E595B"/>
    <w:rsid w:val="00112B48"/>
    <w:rsid w:val="0013041F"/>
    <w:rsid w:val="00152686"/>
    <w:rsid w:val="001D4F8C"/>
    <w:rsid w:val="001D6A8E"/>
    <w:rsid w:val="001F287F"/>
    <w:rsid w:val="00233BA3"/>
    <w:rsid w:val="00244247"/>
    <w:rsid w:val="002972E6"/>
    <w:rsid w:val="002C33C5"/>
    <w:rsid w:val="002D207B"/>
    <w:rsid w:val="00323B33"/>
    <w:rsid w:val="00326C9D"/>
    <w:rsid w:val="003414A5"/>
    <w:rsid w:val="00393A9C"/>
    <w:rsid w:val="003A40A5"/>
    <w:rsid w:val="003A51A2"/>
    <w:rsid w:val="003C793F"/>
    <w:rsid w:val="003D68A7"/>
    <w:rsid w:val="00451D38"/>
    <w:rsid w:val="00486845"/>
    <w:rsid w:val="004A4689"/>
    <w:rsid w:val="004C6D93"/>
    <w:rsid w:val="004D4BE5"/>
    <w:rsid w:val="005012BB"/>
    <w:rsid w:val="0058292E"/>
    <w:rsid w:val="005917C5"/>
    <w:rsid w:val="005F5855"/>
    <w:rsid w:val="006252D5"/>
    <w:rsid w:val="006272E2"/>
    <w:rsid w:val="006273C5"/>
    <w:rsid w:val="00646C25"/>
    <w:rsid w:val="00654E14"/>
    <w:rsid w:val="0068518E"/>
    <w:rsid w:val="00692D77"/>
    <w:rsid w:val="006B6880"/>
    <w:rsid w:val="006D3706"/>
    <w:rsid w:val="006D7F1F"/>
    <w:rsid w:val="006E40D6"/>
    <w:rsid w:val="006E46F9"/>
    <w:rsid w:val="006E6139"/>
    <w:rsid w:val="006F0F9F"/>
    <w:rsid w:val="00705E4A"/>
    <w:rsid w:val="00723AC8"/>
    <w:rsid w:val="007314FB"/>
    <w:rsid w:val="007531F0"/>
    <w:rsid w:val="00754A67"/>
    <w:rsid w:val="007755C1"/>
    <w:rsid w:val="007B3F44"/>
    <w:rsid w:val="00820F96"/>
    <w:rsid w:val="008372D1"/>
    <w:rsid w:val="008629C3"/>
    <w:rsid w:val="008F7077"/>
    <w:rsid w:val="00934696"/>
    <w:rsid w:val="009D035B"/>
    <w:rsid w:val="009D0966"/>
    <w:rsid w:val="009E685D"/>
    <w:rsid w:val="009F052C"/>
    <w:rsid w:val="009F5949"/>
    <w:rsid w:val="00A46256"/>
    <w:rsid w:val="00A4636B"/>
    <w:rsid w:val="00A514F9"/>
    <w:rsid w:val="00A523D2"/>
    <w:rsid w:val="00A92B9D"/>
    <w:rsid w:val="00A944FB"/>
    <w:rsid w:val="00AB2C06"/>
    <w:rsid w:val="00AC396E"/>
    <w:rsid w:val="00AD44EF"/>
    <w:rsid w:val="00B05F94"/>
    <w:rsid w:val="00B12A10"/>
    <w:rsid w:val="00B312A5"/>
    <w:rsid w:val="00B61158"/>
    <w:rsid w:val="00BA2A47"/>
    <w:rsid w:val="00BA2D18"/>
    <w:rsid w:val="00BA617F"/>
    <w:rsid w:val="00C07759"/>
    <w:rsid w:val="00C26BC1"/>
    <w:rsid w:val="00C827A2"/>
    <w:rsid w:val="00CA02A9"/>
    <w:rsid w:val="00CA0FD8"/>
    <w:rsid w:val="00CA3DDD"/>
    <w:rsid w:val="00CC1065"/>
    <w:rsid w:val="00CE2931"/>
    <w:rsid w:val="00CF6A99"/>
    <w:rsid w:val="00D306DF"/>
    <w:rsid w:val="00D307F2"/>
    <w:rsid w:val="00D46BFE"/>
    <w:rsid w:val="00D56E57"/>
    <w:rsid w:val="00D748F5"/>
    <w:rsid w:val="00DA22E5"/>
    <w:rsid w:val="00DB2DDA"/>
    <w:rsid w:val="00DE65AC"/>
    <w:rsid w:val="00DF05FA"/>
    <w:rsid w:val="00E03032"/>
    <w:rsid w:val="00E1209B"/>
    <w:rsid w:val="00E14079"/>
    <w:rsid w:val="00E22429"/>
    <w:rsid w:val="00E31140"/>
    <w:rsid w:val="00E630F1"/>
    <w:rsid w:val="00E83F63"/>
    <w:rsid w:val="00E96A6B"/>
    <w:rsid w:val="00EA2F5D"/>
    <w:rsid w:val="00EA741C"/>
    <w:rsid w:val="00EB67EB"/>
    <w:rsid w:val="00EC32B9"/>
    <w:rsid w:val="00EF59FB"/>
    <w:rsid w:val="00F249F4"/>
    <w:rsid w:val="00F453D2"/>
    <w:rsid w:val="00F60E99"/>
    <w:rsid w:val="00FD29DA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4"/>
        <w:lang w:val="pt-PT" w:eastAsia="pt-P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A2F5D"/>
  </w:style>
  <w:style w:type="paragraph" w:styleId="Ttulo1">
    <w:name w:val="heading 1"/>
    <w:basedOn w:val="Normal"/>
    <w:next w:val="Normal"/>
    <w:uiPriority w:val="99"/>
    <w:rsid w:val="00EA2F5D"/>
    <w:pPr>
      <w:spacing w:before="340" w:after="320"/>
      <w:outlineLvl w:val="0"/>
    </w:pPr>
    <w:rPr>
      <w:b/>
      <w:sz w:val="44"/>
    </w:rPr>
  </w:style>
  <w:style w:type="paragraph" w:styleId="Ttulo2">
    <w:name w:val="heading 2"/>
    <w:basedOn w:val="Normal"/>
    <w:next w:val="Normal"/>
    <w:uiPriority w:val="99"/>
    <w:rsid w:val="00EA2F5D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uiPriority w:val="99"/>
    <w:rsid w:val="00EA2F5D"/>
    <w:pPr>
      <w:spacing w:before="260" w:after="260"/>
      <w:outlineLvl w:val="2"/>
    </w:pPr>
    <w:rPr>
      <w:b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uiPriority w:val="99"/>
    <w:rsid w:val="00EA2F5D"/>
    <w:pPr>
      <w:tabs>
        <w:tab w:val="center" w:pos="4252"/>
        <w:tab w:val="right" w:pos="8504"/>
      </w:tabs>
      <w:spacing w:line="240" w:lineRule="auto"/>
    </w:pPr>
  </w:style>
  <w:style w:type="character" w:styleId="nfase">
    <w:name w:val="Emphasis"/>
    <w:basedOn w:val="Tipodeletrapredefinidodopargrafo"/>
    <w:uiPriority w:val="99"/>
    <w:rsid w:val="00EA2F5D"/>
    <w:rPr>
      <w:i/>
    </w:rPr>
  </w:style>
  <w:style w:type="character" w:customStyle="1" w:styleId="Ttulo2Carcter">
    <w:name w:val="Título 2 Carácter"/>
    <w:basedOn w:val="Tipodeletrapredefinidodopargrafo"/>
    <w:uiPriority w:val="99"/>
    <w:rsid w:val="00EA2F5D"/>
    <w:rPr>
      <w:b/>
      <w:color w:val="4F81BD"/>
      <w:sz w:val="26"/>
    </w:rPr>
  </w:style>
  <w:style w:type="paragraph" w:customStyle="1" w:styleId="NoList98ff7681-567d-4bc3-8720-087c1ef71545">
    <w:name w:val="No List_98ff7681-567d-4bc3-8720-087c1ef71545"/>
    <w:uiPriority w:val="99"/>
    <w:rsid w:val="00EA2F5D"/>
  </w:style>
  <w:style w:type="character" w:styleId="Refdenotadefim">
    <w:name w:val="endnote reference"/>
    <w:basedOn w:val="Tipodeletrapredefinidodopargrafo"/>
    <w:uiPriority w:val="99"/>
    <w:rsid w:val="00EA2F5D"/>
    <w:rPr>
      <w:vertAlign w:val="superscript"/>
    </w:rPr>
  </w:style>
  <w:style w:type="paragraph" w:customStyle="1" w:styleId="NoListb3897682-9b3a-48e8-a226-e7a1718cd0f7">
    <w:name w:val="No List_b3897682-9b3a-48e8-a226-e7a1718cd0f7"/>
    <w:uiPriority w:val="99"/>
    <w:rsid w:val="00EA2F5D"/>
  </w:style>
  <w:style w:type="character" w:styleId="RefernciaIntensa">
    <w:name w:val="Intense Reference"/>
    <w:basedOn w:val="Tipodeletrapredefinidodopargrafo"/>
    <w:uiPriority w:val="99"/>
    <w:rsid w:val="00EA2F5D"/>
    <w:rPr>
      <w:b/>
      <w:smallCaps/>
      <w:color w:val="C0504D"/>
      <w:spacing w:val="0"/>
      <w:u w:val="single"/>
    </w:rPr>
  </w:style>
  <w:style w:type="table" w:styleId="Tabelacomgrelha">
    <w:name w:val="Table Grid"/>
    <w:basedOn w:val="Tabelanormal"/>
    <w:uiPriority w:val="59"/>
    <w:rsid w:val="00EA2F5D"/>
    <w:tblPr>
      <w:tblInd w:w="0" w:type="dxa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99"/>
    <w:rsid w:val="00EA2F5D"/>
    <w:rPr>
      <w:b/>
    </w:rPr>
  </w:style>
  <w:style w:type="character" w:customStyle="1" w:styleId="TtuloCarcter">
    <w:name w:val="Título Carácter"/>
    <w:basedOn w:val="Tipodeletrapredefinidodopargrafo"/>
    <w:uiPriority w:val="99"/>
    <w:rsid w:val="00EA2F5D"/>
    <w:rPr>
      <w:color w:val="17365D"/>
      <w:spacing w:val="0"/>
      <w:sz w:val="52"/>
    </w:rPr>
  </w:style>
  <w:style w:type="paragraph" w:customStyle="1" w:styleId="NormalTable08850bd3-7fb2-4f99-97e7-2bbbc3158247">
    <w:name w:val="Normal Table_08850bd3-7fb2-4f99-97e7-2bbbc3158247"/>
    <w:uiPriority w:val="99"/>
    <w:rsid w:val="00EA2F5D"/>
  </w:style>
  <w:style w:type="character" w:customStyle="1" w:styleId="SubttuloCarcter">
    <w:name w:val="Subtítulo Carácter"/>
    <w:basedOn w:val="Tipodeletrapredefinidodopargrafo"/>
    <w:uiPriority w:val="99"/>
    <w:rsid w:val="00EA2F5D"/>
    <w:rPr>
      <w:i/>
      <w:color w:val="4F81BD"/>
      <w:spacing w:val="0"/>
      <w:sz w:val="24"/>
    </w:rPr>
  </w:style>
  <w:style w:type="paragraph" w:styleId="PargrafodaLista">
    <w:name w:val="List Paragraph"/>
    <w:basedOn w:val="Normal"/>
    <w:uiPriority w:val="99"/>
    <w:rsid w:val="00EA2F5D"/>
    <w:pPr>
      <w:ind w:left="720"/>
    </w:pPr>
  </w:style>
  <w:style w:type="paragraph" w:styleId="Cabealho">
    <w:name w:val="header"/>
    <w:basedOn w:val="Normal"/>
    <w:uiPriority w:val="99"/>
    <w:rsid w:val="00EA2F5D"/>
    <w:pPr>
      <w:tabs>
        <w:tab w:val="center" w:pos="4252"/>
        <w:tab w:val="right" w:pos="8504"/>
      </w:tabs>
      <w:spacing w:line="240" w:lineRule="auto"/>
    </w:pPr>
  </w:style>
  <w:style w:type="paragraph" w:customStyle="1" w:styleId="Tabelanormal2">
    <w:name w:val="Tabela normal2"/>
    <w:uiPriority w:val="99"/>
    <w:rsid w:val="00EA2F5D"/>
  </w:style>
  <w:style w:type="paragraph" w:customStyle="1" w:styleId="Tabelacomgrelha4">
    <w:name w:val="Tabela com grelha4"/>
    <w:basedOn w:val="Tabelanormal1"/>
    <w:uiPriority w:val="99"/>
    <w:rsid w:val="00EA2F5D"/>
  </w:style>
  <w:style w:type="paragraph" w:customStyle="1" w:styleId="Tabelanormal1">
    <w:name w:val="Tabela normal1"/>
    <w:uiPriority w:val="99"/>
    <w:rsid w:val="00EA2F5D"/>
  </w:style>
  <w:style w:type="paragraph" w:customStyle="1" w:styleId="Tabelacomgrelha3">
    <w:name w:val="Tabela com grelha3"/>
    <w:basedOn w:val="Tabelanormal2"/>
    <w:uiPriority w:val="99"/>
    <w:rsid w:val="00EA2F5D"/>
  </w:style>
  <w:style w:type="character" w:customStyle="1" w:styleId="CabealhoCarcter">
    <w:name w:val="Cabeçalho Carácter"/>
    <w:basedOn w:val="Tipodeletrapredefinidodopargrafo"/>
    <w:uiPriority w:val="99"/>
    <w:rsid w:val="00EA2F5D"/>
  </w:style>
  <w:style w:type="paragraph" w:customStyle="1" w:styleId="TableGrid0b9955d8-9a8f-4d63-8cc2-4879a4201759">
    <w:name w:val="Table Grid_0b9955d8-9a8f-4d63-8cc2-4879a4201759"/>
    <w:basedOn w:val="NormalTable004ad932-99b9-475a-ab14-ad16e7881a5d"/>
    <w:uiPriority w:val="99"/>
    <w:rsid w:val="00EA2F5D"/>
  </w:style>
  <w:style w:type="paragraph" w:customStyle="1" w:styleId="Tabelacomgrelha2">
    <w:name w:val="Tabela com grelha2"/>
    <w:basedOn w:val="Tabelanormal1"/>
    <w:uiPriority w:val="99"/>
    <w:rsid w:val="00EA2F5D"/>
  </w:style>
  <w:style w:type="paragraph" w:customStyle="1" w:styleId="Tabelacomgrelha1">
    <w:name w:val="Tabela com grelha1"/>
    <w:basedOn w:val="Tabelanormal1"/>
    <w:uiPriority w:val="99"/>
    <w:rsid w:val="00EA2F5D"/>
  </w:style>
  <w:style w:type="paragraph" w:customStyle="1" w:styleId="Semlista1">
    <w:name w:val="Sem lista1"/>
    <w:uiPriority w:val="99"/>
    <w:rsid w:val="00EA2F5D"/>
  </w:style>
  <w:style w:type="character" w:styleId="Hiperligao">
    <w:name w:val="Hyperlink"/>
    <w:basedOn w:val="Tipodeletrapredefinidodopargrafo"/>
    <w:uiPriority w:val="99"/>
    <w:rsid w:val="00EA2F5D"/>
    <w:rPr>
      <w:color w:val="0000FF"/>
      <w:u w:val="single"/>
    </w:rPr>
  </w:style>
  <w:style w:type="paragraph" w:styleId="SemEspaamento">
    <w:name w:val="No Spacing"/>
    <w:uiPriority w:val="99"/>
    <w:rsid w:val="00EA2F5D"/>
    <w:pPr>
      <w:spacing w:line="240" w:lineRule="auto"/>
    </w:pPr>
  </w:style>
  <w:style w:type="paragraph" w:styleId="Textodebalo">
    <w:name w:val="Balloon Text"/>
    <w:basedOn w:val="Normal"/>
    <w:uiPriority w:val="99"/>
    <w:rsid w:val="00EA2F5D"/>
    <w:pPr>
      <w:spacing w:line="240" w:lineRule="auto"/>
    </w:pPr>
    <w:rPr>
      <w:rFonts w:ascii="Tahoma" w:hAnsi="Tahoma"/>
      <w:sz w:val="16"/>
    </w:rPr>
  </w:style>
  <w:style w:type="paragraph" w:customStyle="1" w:styleId="NormalTable004ad932-99b9-475a-ab14-ad16e7881a5d">
    <w:name w:val="Normal Table_004ad932-99b9-475a-ab14-ad16e7881a5d"/>
    <w:uiPriority w:val="99"/>
    <w:rsid w:val="00EA2F5D"/>
  </w:style>
  <w:style w:type="character" w:styleId="Refdenotaderodap">
    <w:name w:val="footnote reference"/>
    <w:basedOn w:val="Tipodeletrapredefinidodopargrafo"/>
    <w:uiPriority w:val="99"/>
    <w:rsid w:val="00EA2F5D"/>
    <w:rPr>
      <w:vertAlign w:val="superscript"/>
    </w:rPr>
  </w:style>
  <w:style w:type="paragraph" w:styleId="Ttulo">
    <w:name w:val="Title"/>
    <w:basedOn w:val="Normal"/>
    <w:next w:val="Normal"/>
    <w:uiPriority w:val="99"/>
    <w:rsid w:val="00EA2F5D"/>
    <w:pPr>
      <w:pBdr>
        <w:bottom w:val="single" w:sz="8" w:space="0" w:color="4F81BD"/>
      </w:pBdr>
      <w:spacing w:after="300" w:line="240" w:lineRule="auto"/>
    </w:pPr>
    <w:rPr>
      <w:color w:val="17365D"/>
      <w:sz w:val="52"/>
    </w:rPr>
  </w:style>
  <w:style w:type="character" w:customStyle="1" w:styleId="RodapCarcter">
    <w:name w:val="Rodapé Carácter"/>
    <w:basedOn w:val="Tipodeletrapredefinidodopargrafo"/>
    <w:uiPriority w:val="99"/>
    <w:rsid w:val="00EA2F5D"/>
  </w:style>
  <w:style w:type="character" w:customStyle="1" w:styleId="TextodebaloCarcter">
    <w:name w:val="Texto de balão Carácter"/>
    <w:basedOn w:val="Tipodeletrapredefinidodopargrafo"/>
    <w:uiPriority w:val="99"/>
    <w:rsid w:val="00EA2F5D"/>
    <w:rPr>
      <w:rFonts w:ascii="Tahoma" w:hAnsi="Tahoma"/>
      <w:sz w:val="16"/>
    </w:rPr>
  </w:style>
  <w:style w:type="paragraph" w:styleId="Subttulo">
    <w:name w:val="Subtitle"/>
    <w:basedOn w:val="Normal"/>
    <w:next w:val="Normal"/>
    <w:uiPriority w:val="99"/>
    <w:rsid w:val="00EA2F5D"/>
    <w:pPr>
      <w:numPr>
        <w:ilvl w:val="1"/>
      </w:numPr>
    </w:pPr>
    <w:rPr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23F0-8BC6-4A93-AAC7-E47544AB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2775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Office</dc:creator>
  <cp:lastModifiedBy>Tiago</cp:lastModifiedBy>
  <cp:revision>56</cp:revision>
  <dcterms:created xsi:type="dcterms:W3CDTF">2012-03-02T10:54:00Z</dcterms:created>
  <dcterms:modified xsi:type="dcterms:W3CDTF">2012-05-26T09:45:00Z</dcterms:modified>
  <cp:version>4.3.2</cp:version>
</cp:coreProperties>
</file>