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90" w:rsidRDefault="00A17290">
      <w:pPr>
        <w:pStyle w:val="Ttulo1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A17290" w:rsidRDefault="00A17290">
      <w:pPr>
        <w:pStyle w:val="Ttulo11"/>
        <w:spacing w:before="0" w:after="0" w:line="240" w:lineRule="auto"/>
        <w:jc w:val="center"/>
        <w:rPr>
          <w:color w:val="FF0000"/>
          <w:sz w:val="28"/>
        </w:rPr>
      </w:pPr>
      <w:r>
        <w:rPr>
          <w:color w:val="FF0000"/>
          <w:sz w:val="28"/>
        </w:rPr>
        <w:t>(Práticas)</w:t>
      </w:r>
    </w:p>
    <w:p w:rsidR="00A17290" w:rsidRDefault="00A17290">
      <w:pPr>
        <w:jc w:val="center"/>
        <w:rPr>
          <w:rFonts w:ascii="Tw Cen MT" w:hAnsi="Tw Cen MT"/>
          <w:b/>
          <w:sz w:val="32"/>
          <w:highlight w:val="red"/>
        </w:rPr>
      </w:pPr>
    </w:p>
    <w:p w:rsidR="00A17290" w:rsidRDefault="00A17290">
      <w:pPr>
        <w:jc w:val="center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32"/>
          <w:highlight w:val="red"/>
        </w:rPr>
        <w:t>7ºs Casos Práticos</w:t>
      </w:r>
    </w:p>
    <w:p w:rsidR="00A17290" w:rsidRDefault="00A17290">
      <w:pPr>
        <w:spacing w:line="360" w:lineRule="atLeast"/>
        <w:jc w:val="center"/>
        <w:rPr>
          <w:b/>
          <w:sz w:val="26"/>
        </w:rPr>
      </w:pPr>
    </w:p>
    <w:p w:rsidR="00A17290" w:rsidRDefault="00A17290">
      <w:pPr>
        <w:spacing w:line="360" w:lineRule="atLeast"/>
        <w:jc w:val="center"/>
        <w:rPr>
          <w:b/>
          <w:sz w:val="26"/>
        </w:rPr>
      </w:pPr>
    </w:p>
    <w:p w:rsidR="00A17290" w:rsidRDefault="00A17290">
      <w:p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t>Hipótese n.º 28</w:t>
      </w:r>
    </w:p>
    <w:p w:rsidR="00A17290" w:rsidRDefault="00A17290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</w:rPr>
        <w:t>Na sequência de contrato promessa de compra e venda celebrado por um prazo de 180 dias, e pelo qual António entregou imediatamente a Bento a quantia de €50.000,00, António veio a comprar a Bento um terreno para construção por €5.000.000,00.</w:t>
      </w:r>
    </w:p>
    <w:p w:rsidR="00A17290" w:rsidRDefault="00A17290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</w:rPr>
        <w:t>Numa das cláusulas estabelece-se que a venda fica sem efeito se no prazo de dois anos não for emitida pelo município licença de construção.</w:t>
      </w:r>
    </w:p>
    <w:p w:rsidR="00A17290" w:rsidRDefault="00A17290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</w:rPr>
        <w:t>Passados dois meses da data da compra e venda António constituiu hipoteca sobre o terreno, a favor do Banco X, em garantia de dívida para pagamento do remanescente do preço.</w:t>
      </w:r>
    </w:p>
    <w:p w:rsidR="00A17290" w:rsidRDefault="00A17290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</w:rPr>
        <w:t>Um ano mais tarde, por decisão camarária, o pedido de licença de construção foi recusado, após contacto informal entre António e um seu amigo funcionário da Câmara para que o referido projecto não fosse aprovado, atendendo a que entretanto António se havia arrependido da compra (por dificuldades surgidas no mercado imobiliário).</w:t>
      </w:r>
    </w:p>
    <w:p w:rsidR="00A17290" w:rsidRDefault="00A17290">
      <w:pPr>
        <w:shd w:val="clear" w:color="auto" w:fill="DDD9C3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António vem depois a pôr em causa a relação contratual.</w:t>
      </w:r>
    </w:p>
    <w:p w:rsidR="00A17290" w:rsidRDefault="00A17290">
      <w:pPr>
        <w:shd w:val="clear" w:color="auto" w:fill="DDD9C3"/>
        <w:spacing w:line="360" w:lineRule="auto"/>
        <w:jc w:val="both"/>
        <w:rPr>
          <w:rFonts w:ascii="Tw Cen MT" w:hAnsi="Tw Cen MT"/>
          <w:b/>
          <w:u w:val="single"/>
        </w:rPr>
      </w:pPr>
    </w:p>
    <w:p w:rsidR="000E19FC" w:rsidRDefault="000E19FC" w:rsidP="000E19FC">
      <w:pPr>
        <w:spacing w:line="360" w:lineRule="auto"/>
        <w:jc w:val="both"/>
        <w:rPr>
          <w:rFonts w:ascii="Tw Cen MT" w:hAnsi="Tw Cen MT"/>
          <w:b/>
          <w:u w:val="single"/>
        </w:rPr>
      </w:pPr>
    </w:p>
    <w:p w:rsidR="00A17290" w:rsidRDefault="00A17290" w:rsidP="000E19FC">
      <w:pPr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Resolução do caso:</w:t>
      </w:r>
    </w:p>
    <w:p w:rsidR="00A17290" w:rsidRDefault="000E19FC" w:rsidP="000E19FC">
      <w:pPr>
        <w:numPr>
          <w:ilvl w:val="0"/>
          <w:numId w:val="2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Sinal, artigo 442.º</w:t>
      </w:r>
      <w:r w:rsidR="00A17290">
        <w:rPr>
          <w:rFonts w:ascii="Tw Cen MT" w:hAnsi="Tw Cen MT"/>
        </w:rPr>
        <w:t xml:space="preserve"> é uma cláusula acessória típica e que faz depender os efeitos do negócio jurídico. Em caso de incumprimento, imputável aquele que constitui o sinal, perde aquela quantia. A outra parte, se incumprir, </w:t>
      </w:r>
      <w:r>
        <w:rPr>
          <w:rFonts w:ascii="Tw Cen MT" w:hAnsi="Tw Cen MT"/>
        </w:rPr>
        <w:t>devolve</w:t>
      </w:r>
      <w:r w:rsidR="00A17290">
        <w:rPr>
          <w:rFonts w:ascii="Tw Cen MT" w:hAnsi="Tw Cen MT"/>
        </w:rPr>
        <w:t xml:space="preserve"> o dobro do sinal. Não existindo sinal, o devedor tem que indemnizar pelos danos, 798.º.  Mas, havendo sinal, dispensa-se </w:t>
      </w:r>
      <w:r>
        <w:rPr>
          <w:rFonts w:ascii="Tw Cen MT" w:hAnsi="Tw Cen MT"/>
        </w:rPr>
        <w:t>o regime do 798.º</w:t>
      </w:r>
      <w:r w:rsidR="00A17290">
        <w:rPr>
          <w:rFonts w:ascii="Tw Cen MT" w:hAnsi="Tw Cen MT"/>
        </w:rPr>
        <w:t xml:space="preserve"> e a indemnização não pode ser superior</w:t>
      </w:r>
      <w:r>
        <w:rPr>
          <w:rFonts w:ascii="Tw Cen MT" w:hAnsi="Tw Cen MT"/>
        </w:rPr>
        <w:t xml:space="preserve"> ao sinal</w:t>
      </w:r>
      <w:r w:rsidR="00A17290">
        <w:rPr>
          <w:rFonts w:ascii="Tw Cen MT" w:hAnsi="Tw Cen MT"/>
        </w:rPr>
        <w:t xml:space="preserve">. </w:t>
      </w:r>
      <w:r>
        <w:rPr>
          <w:rFonts w:ascii="Tw Cen MT" w:hAnsi="Tw Cen MT"/>
        </w:rPr>
        <w:t>Assim, A</w:t>
      </w:r>
      <w:r w:rsidR="00A17290">
        <w:rPr>
          <w:rFonts w:ascii="Tw Cen MT" w:hAnsi="Tw Cen MT"/>
        </w:rPr>
        <w:t xml:space="preserve"> entrega 50.000</w:t>
      </w:r>
      <w:r>
        <w:rPr>
          <w:rFonts w:ascii="Tw Cen MT" w:hAnsi="Tw Cen MT"/>
        </w:rPr>
        <w:t>€</w:t>
      </w:r>
      <w:r w:rsidR="00A17290">
        <w:rPr>
          <w:rFonts w:ascii="Tw Cen MT" w:hAnsi="Tw Cen MT"/>
        </w:rPr>
        <w:t xml:space="preserve"> e B devolve-lhe os 50.000</w:t>
      </w:r>
      <w:r>
        <w:rPr>
          <w:rFonts w:ascii="Tw Cen MT" w:hAnsi="Tw Cen MT"/>
        </w:rPr>
        <w:t>€</w:t>
      </w:r>
      <w:r w:rsidR="00A17290">
        <w:rPr>
          <w:rFonts w:ascii="Tw Cen MT" w:hAnsi="Tw Cen MT"/>
        </w:rPr>
        <w:t xml:space="preserve"> + 50.000</w:t>
      </w:r>
      <w:r>
        <w:rPr>
          <w:rFonts w:ascii="Tw Cen MT" w:hAnsi="Tw Cen MT"/>
        </w:rPr>
        <w:t>€</w:t>
      </w:r>
      <w:r w:rsidR="00A17290">
        <w:rPr>
          <w:rFonts w:ascii="Tw Cen MT" w:hAnsi="Tw Cen MT"/>
        </w:rPr>
        <w:t xml:space="preserve"> de indemnização. Havendo caducidade do contrato, vg morte </w:t>
      </w:r>
      <w:r>
        <w:rPr>
          <w:rFonts w:ascii="Tw Cen MT" w:hAnsi="Tw Cen MT"/>
        </w:rPr>
        <w:t>intuito</w:t>
      </w:r>
      <w:r w:rsidR="00A17290">
        <w:rPr>
          <w:rFonts w:ascii="Tw Cen MT" w:hAnsi="Tw Cen MT"/>
        </w:rPr>
        <w:t xml:space="preserve"> personae, o  sinal tem de ser </w:t>
      </w:r>
      <w:r>
        <w:rPr>
          <w:rFonts w:ascii="Tw Cen MT" w:hAnsi="Tw Cen MT"/>
        </w:rPr>
        <w:t>restituído</w:t>
      </w:r>
      <w:r w:rsidR="00A17290">
        <w:rPr>
          <w:rFonts w:ascii="Tw Cen MT" w:hAnsi="Tw Cen MT"/>
        </w:rPr>
        <w:t>.</w:t>
      </w:r>
    </w:p>
    <w:p w:rsidR="00A17290" w:rsidRDefault="00A17290" w:rsidP="000E19FC">
      <w:pPr>
        <w:numPr>
          <w:ilvl w:val="0"/>
          <w:numId w:val="2"/>
        </w:numPr>
        <w:spacing w:line="360" w:lineRule="auto"/>
        <w:jc w:val="both"/>
      </w:pPr>
      <w:r w:rsidRPr="000E19FC">
        <w:rPr>
          <w:rFonts w:ascii="Tw Cen MT" w:hAnsi="Tw Cen MT"/>
        </w:rPr>
        <w:t>Condiç</w:t>
      </w:r>
      <w:r w:rsidR="000E19FC" w:rsidRPr="000E19FC">
        <w:rPr>
          <w:rFonts w:ascii="Tw Cen MT" w:hAnsi="Tw Cen MT"/>
        </w:rPr>
        <w:t>ão resolutiva, artigo 270.º e seguintes</w:t>
      </w:r>
      <w:r w:rsidRPr="000E19FC">
        <w:rPr>
          <w:rFonts w:ascii="Tw Cen MT" w:hAnsi="Tw Cen MT"/>
        </w:rPr>
        <w:t xml:space="preserve">. Durante a pendência da condição pode-se dispor e fruir, 274.º, mas mediante </w:t>
      </w:r>
      <w:r w:rsidR="000E19FC" w:rsidRPr="000E19FC">
        <w:rPr>
          <w:rFonts w:ascii="Tw Cen MT" w:hAnsi="Tw Cen MT"/>
        </w:rPr>
        <w:t>uma condição resolutiva, se o negócio jurídico</w:t>
      </w:r>
      <w:r w:rsidRPr="000E19FC">
        <w:rPr>
          <w:rFonts w:ascii="Tw Cen MT" w:hAnsi="Tw Cen MT"/>
        </w:rPr>
        <w:t xml:space="preserve"> for </w:t>
      </w:r>
      <w:r w:rsidR="000E19FC" w:rsidRPr="000E19FC">
        <w:rPr>
          <w:rFonts w:ascii="Tw Cen MT" w:hAnsi="Tw Cen MT"/>
        </w:rPr>
        <w:t>destruído a hipoteca também o é</w:t>
      </w:r>
      <w:r w:rsidR="000E19FC">
        <w:rPr>
          <w:rFonts w:ascii="Tw Cen MT" w:hAnsi="Tw Cen MT"/>
        </w:rPr>
        <w:t xml:space="preserve">. </w:t>
      </w:r>
      <w:r w:rsidRPr="000E19FC">
        <w:rPr>
          <w:rFonts w:ascii="Tw Cen MT" w:hAnsi="Tw Cen MT"/>
        </w:rPr>
        <w:t>No caso concrecto, tem-se o 275.º/2 os efeitos produziam-se e hipoteca n</w:t>
      </w:r>
      <w:r w:rsidR="000E19FC" w:rsidRPr="000E19FC">
        <w:rPr>
          <w:rFonts w:ascii="Tw Cen MT" w:hAnsi="Tw Cen MT"/>
        </w:rPr>
        <w:t>ão</w:t>
      </w:r>
      <w:r w:rsidRPr="000E19FC">
        <w:rPr>
          <w:rFonts w:ascii="Tw Cen MT" w:hAnsi="Tw Cen MT"/>
        </w:rPr>
        <w:t xml:space="preserve"> seria afectada</w:t>
      </w:r>
      <w:r w:rsidR="000E19FC">
        <w:rPr>
          <w:rFonts w:ascii="Tw Cen MT" w:hAnsi="Tw Cen MT"/>
        </w:rPr>
        <w:t>.</w:t>
      </w:r>
    </w:p>
    <w:sectPr w:rsidR="00A17290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7F" w:rsidRDefault="00A02F7F">
      <w:r>
        <w:separator/>
      </w:r>
    </w:p>
  </w:endnote>
  <w:endnote w:type="continuationSeparator" w:id="0">
    <w:p w:rsidR="00A02F7F" w:rsidRDefault="00A02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7F" w:rsidRDefault="00A02F7F">
      <w:r>
        <w:separator/>
      </w:r>
    </w:p>
  </w:footnote>
  <w:footnote w:type="continuationSeparator" w:id="0">
    <w:p w:rsidR="00A02F7F" w:rsidRDefault="00A02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nsid w:val="3BE87814"/>
    <w:multiLevelType w:val="multilevel"/>
    <w:tmpl w:val="B5CC02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9FC"/>
    <w:rsid w:val="000E19FC"/>
    <w:rsid w:val="002E7761"/>
    <w:rsid w:val="00A02F7F"/>
    <w:rsid w:val="00A1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customStyle="1" w:styleId="Tipodeletrapredefinidodopargrafo">
    <w:name w:val="Default Paragraph Font"/>
    <w:semiHidden/>
  </w:style>
  <w:style w:type="table" w:default="1" w:customStyle="1" w:styleId="Tabelanormal">
    <w:name w:val="Normal Table"/>
    <w:next w:val="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customStyle="1" w:styleId="Semlista">
    <w:name w:val="No List"/>
    <w:next w:val="Normal"/>
    <w:semiHidden/>
  </w:style>
  <w:style w:type="paragraph" w:customStyle="1" w:styleId="Cabealho1">
    <w:name w:val="Cabeçalho1"/>
    <w:basedOn w:val="Normal"/>
    <w:link w:val="CabealhoCarcter"/>
    <w:pPr>
      <w:tabs>
        <w:tab w:val="center" w:pos="4252"/>
        <w:tab w:val="right" w:pos="8504"/>
      </w:tabs>
      <w:spacing w:line="340" w:lineRule="exact"/>
      <w:jc w:val="both"/>
    </w:pPr>
    <w:rPr>
      <w:rFonts w:ascii="Garamond" w:hAnsi="Garamond"/>
      <w:sz w:val="22"/>
      <w:lang/>
    </w:rPr>
  </w:style>
  <w:style w:type="character" w:customStyle="1" w:styleId="CabealhoCarcter">
    <w:name w:val="Cabeçalho Carácter"/>
    <w:link w:val="Cabealho1"/>
    <w:rPr>
      <w:rFonts w:ascii="Garamond" w:hAnsi="Garamond"/>
      <w:sz w:val="22"/>
    </w:rPr>
  </w:style>
  <w:style w:type="character" w:customStyle="1" w:styleId="CharChar1">
    <w:name w:val="Char Char1"/>
    <w:locked/>
    <w:rPr>
      <w:rFonts w:ascii="Garamond" w:hAnsi="Garamond"/>
      <w:sz w:val="22"/>
    </w:rPr>
  </w:style>
  <w:style w:type="character" w:customStyle="1" w:styleId="Ttulo1Carcter">
    <w:name w:val="Título 1 Carácter"/>
    <w:basedOn w:val="Tipodeletrapredefinidodopargrafo"/>
    <w:link w:val="Ttulo11"/>
    <w:locked/>
    <w:rPr>
      <w:rFonts w:ascii="Tw Cen MT" w:hAnsi="Tw Cen MT"/>
      <w:b/>
      <w:sz w:val="44"/>
    </w:rPr>
  </w:style>
  <w:style w:type="paragraph" w:customStyle="1" w:styleId="Ttulo11">
    <w:name w:val="Título 11"/>
    <w:basedOn w:val="Normal"/>
    <w:next w:val="Normal"/>
    <w:link w:val="Ttulo1Carcter"/>
    <w:qFormat/>
    <w:pPr>
      <w:spacing w:before="340" w:after="320" w:line="360" w:lineRule="auto"/>
    </w:pPr>
    <w:rPr>
      <w:rFonts w:ascii="Tw Cen MT" w:hAnsi="Tw Cen MT"/>
      <w:b/>
      <w:sz w:val="44"/>
    </w:rPr>
  </w:style>
  <w:style w:type="character" w:styleId="Hiperligao">
    <w:name w:val="Hyperlink"/>
    <w:basedOn w:val="Tipodeletrapredefinidodopargrafo"/>
    <w:uiPriority w:val="99"/>
    <w:rPr>
      <w:color w:val="0000FF"/>
      <w:u w:val="single"/>
    </w:rPr>
  </w:style>
  <w:style w:type="character" w:styleId="Refdenotaderodap">
    <w:name w:val="footnote reference"/>
    <w:basedOn w:val="Tipodeletrapredefinidodopargrafo"/>
    <w:uiPriority w:val="99"/>
    <w:rPr>
      <w:vertAlign w:val="superscript"/>
    </w:rPr>
  </w:style>
  <w:style w:type="character" w:styleId="Refdenotadefim">
    <w:name w:val="endnote reference"/>
    <w:basedOn w:val="Tipodeletrapredefinidodopargrafo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CASOS 5</vt:lpstr>
      <vt:lpstr>CASOS 5</vt:lpstr>
    </vt:vector>
  </TitlesOfParts>
  <Company>JAPR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CASOS 5</dc:title>
  <dc:creator>JAPR</dc:creator>
  <cp:lastModifiedBy>Tiago</cp:lastModifiedBy>
  <cp:revision>2</cp:revision>
  <dcterms:created xsi:type="dcterms:W3CDTF">2012-05-13T07:06:00Z</dcterms:created>
  <dcterms:modified xsi:type="dcterms:W3CDTF">2012-05-13T07:06:00Z</dcterms:modified>
</cp:coreProperties>
</file>