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8E" w:rsidRDefault="0087608E" w:rsidP="0087608E">
      <w:pPr>
        <w:pStyle w:val="Ttulo11"/>
        <w:spacing w:before="0" w:after="0" w:line="240" w:lineRule="auto"/>
        <w:jc w:val="center"/>
        <w:rPr>
          <w:sz w:val="48"/>
        </w:rPr>
      </w:pPr>
      <w:r>
        <w:rPr>
          <w:sz w:val="48"/>
        </w:rPr>
        <w:t>Teoria Geral do Direito Civil II</w:t>
      </w:r>
    </w:p>
    <w:p w:rsidR="0087608E" w:rsidRDefault="0087608E" w:rsidP="0087608E">
      <w:pPr>
        <w:pStyle w:val="Ttulo11"/>
        <w:spacing w:before="0" w:after="0" w:line="240" w:lineRule="auto"/>
        <w:jc w:val="center"/>
        <w:rPr>
          <w:b w:val="0"/>
          <w:sz w:val="28"/>
        </w:rPr>
      </w:pPr>
      <w:r>
        <w:rPr>
          <w:b w:val="0"/>
          <w:sz w:val="28"/>
        </w:rPr>
        <w:t>(Práticas)</w:t>
      </w:r>
    </w:p>
    <w:p w:rsidR="0087608E" w:rsidRDefault="0087608E" w:rsidP="0087608E">
      <w:pPr>
        <w:jc w:val="center"/>
        <w:rPr>
          <w:rFonts w:ascii="Tw Cen MT" w:hAnsi="Tw Cen MT"/>
          <w:b/>
          <w:sz w:val="32"/>
          <w:highlight w:val="red"/>
        </w:rPr>
      </w:pPr>
    </w:p>
    <w:p w:rsidR="0087608E" w:rsidRDefault="00095FD9" w:rsidP="0087608E">
      <w:pPr>
        <w:jc w:val="center"/>
        <w:rPr>
          <w:rFonts w:ascii="Tw Cen MT" w:hAnsi="Tw Cen MT"/>
          <w:b/>
          <w:sz w:val="32"/>
        </w:rPr>
      </w:pPr>
      <w:r>
        <w:rPr>
          <w:rFonts w:ascii="Tw Cen MT" w:hAnsi="Tw Cen MT"/>
          <w:b/>
          <w:sz w:val="32"/>
          <w:highlight w:val="red"/>
        </w:rPr>
        <w:t>5</w:t>
      </w:r>
      <w:r w:rsidR="0087608E" w:rsidRPr="00C82DBB">
        <w:rPr>
          <w:rFonts w:ascii="Tw Cen MT" w:hAnsi="Tw Cen MT"/>
          <w:b/>
          <w:sz w:val="32"/>
          <w:highlight w:val="red"/>
        </w:rPr>
        <w:t>ºs Casos Práticos</w:t>
      </w:r>
    </w:p>
    <w:p w:rsidR="000A769F" w:rsidRDefault="000A769F" w:rsidP="002E1152">
      <w:pPr>
        <w:spacing w:line="360" w:lineRule="auto"/>
      </w:pPr>
    </w:p>
    <w:p w:rsidR="0087608E" w:rsidRPr="00A377D0" w:rsidRDefault="0087608E" w:rsidP="002E1152">
      <w:pPr>
        <w:spacing w:line="360" w:lineRule="auto"/>
      </w:pPr>
    </w:p>
    <w:p w:rsidR="0087608E" w:rsidRPr="0087608E" w:rsidRDefault="0087608E" w:rsidP="0087608E">
      <w:pPr>
        <w:shd w:val="clear" w:color="auto" w:fill="DDD9C3"/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 w:rsidRPr="0087608E">
        <w:rPr>
          <w:rFonts w:ascii="Tw Cen MT" w:hAnsi="Tw Cen MT"/>
          <w:b/>
          <w:sz w:val="28"/>
          <w:u w:val="single"/>
        </w:rPr>
        <w:t>Hipótese n.º 24</w:t>
      </w:r>
    </w:p>
    <w:p w:rsidR="0087608E" w:rsidRPr="0087608E" w:rsidRDefault="00A377D0" w:rsidP="0087608E">
      <w:pPr>
        <w:shd w:val="clear" w:color="auto" w:fill="DDD9C3"/>
        <w:spacing w:line="360" w:lineRule="auto"/>
        <w:jc w:val="both"/>
        <w:rPr>
          <w:rFonts w:ascii="Tw Cen MT" w:hAnsi="Tw Cen MT"/>
        </w:rPr>
      </w:pPr>
      <w:r w:rsidRPr="0087608E">
        <w:rPr>
          <w:rFonts w:ascii="Tw Cen MT" w:hAnsi="Tw Cen MT"/>
        </w:rPr>
        <w:t>A sociedade Béltico, S.A., importadora de bacalhau, encomendou ao fornecedor habitual, Cristal, S.A., 15 novos computadores, para uma nova filial da Béltico.</w:t>
      </w:r>
    </w:p>
    <w:p w:rsidR="0087608E" w:rsidRPr="0087608E" w:rsidRDefault="00A377D0" w:rsidP="0087608E">
      <w:pPr>
        <w:shd w:val="clear" w:color="auto" w:fill="DDD9C3"/>
        <w:spacing w:line="360" w:lineRule="auto"/>
        <w:jc w:val="both"/>
        <w:rPr>
          <w:rFonts w:ascii="Tw Cen MT" w:hAnsi="Tw Cen MT"/>
        </w:rPr>
      </w:pPr>
      <w:r w:rsidRPr="0087608E">
        <w:rPr>
          <w:rFonts w:ascii="Tw Cen MT" w:hAnsi="Tw Cen MT"/>
        </w:rPr>
        <w:t>Os computadores foram instalados, de acordo com o combinado, a 20 de Julho, tendo António, gerente da Béltico, ido de férias durante o mês de Agosto.</w:t>
      </w:r>
    </w:p>
    <w:p w:rsidR="0087608E" w:rsidRPr="0087608E" w:rsidRDefault="00A377D0" w:rsidP="0087608E">
      <w:pPr>
        <w:shd w:val="clear" w:color="auto" w:fill="DDD9C3"/>
        <w:spacing w:line="360" w:lineRule="auto"/>
        <w:jc w:val="both"/>
        <w:rPr>
          <w:rFonts w:ascii="Tw Cen MT" w:hAnsi="Tw Cen MT"/>
        </w:rPr>
      </w:pPr>
      <w:r w:rsidRPr="0087608E">
        <w:rPr>
          <w:rFonts w:ascii="Tw Cen MT" w:hAnsi="Tw Cen MT"/>
        </w:rPr>
        <w:t>A 7 de Setembro, uma semana depois do seu regresso de férias, António exige, por escrito, à Cristal, S.A., a substituição dos computadores dado que um dos componentes de cada computador se encontrava queimado, limitando forte</w:t>
      </w:r>
      <w:r w:rsidRPr="0087608E">
        <w:rPr>
          <w:rFonts w:ascii="Tw Cen MT" w:hAnsi="Tw Cen MT"/>
        </w:rPr>
        <w:softHyphen/>
        <w:t>mente a</w:t>
      </w:r>
      <w:r w:rsidR="0087608E" w:rsidRPr="0087608E">
        <w:rPr>
          <w:rFonts w:ascii="Tw Cen MT" w:hAnsi="Tw Cen MT"/>
        </w:rPr>
        <w:t>s possibili</w:t>
      </w:r>
      <w:r w:rsidR="0087608E" w:rsidRPr="0087608E">
        <w:rPr>
          <w:rFonts w:ascii="Tw Cen MT" w:hAnsi="Tw Cen MT"/>
        </w:rPr>
        <w:softHyphen/>
        <w:t>dades do computador.</w:t>
      </w:r>
    </w:p>
    <w:p w:rsidR="0087608E" w:rsidRPr="0087608E" w:rsidRDefault="00A377D0" w:rsidP="0087608E">
      <w:pPr>
        <w:shd w:val="clear" w:color="auto" w:fill="DDD9C3"/>
        <w:spacing w:line="360" w:lineRule="auto"/>
        <w:jc w:val="both"/>
        <w:rPr>
          <w:rFonts w:ascii="Tw Cen MT" w:hAnsi="Tw Cen MT"/>
        </w:rPr>
      </w:pPr>
      <w:r w:rsidRPr="0087608E">
        <w:rPr>
          <w:rFonts w:ascii="Tw Cen MT" w:hAnsi="Tw Cen MT"/>
        </w:rPr>
        <w:t>A Cristal, S.A. recusa-se a substituir os computadores alegando:</w:t>
      </w:r>
    </w:p>
    <w:p w:rsidR="0087608E" w:rsidRPr="0087608E" w:rsidRDefault="0087608E" w:rsidP="0087608E">
      <w:pPr>
        <w:numPr>
          <w:ilvl w:val="0"/>
          <w:numId w:val="2"/>
        </w:numPr>
        <w:shd w:val="clear" w:color="auto" w:fill="DDD9C3"/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(1ª cláusula) </w:t>
      </w:r>
      <w:r w:rsidR="00A377D0" w:rsidRPr="0087608E">
        <w:rPr>
          <w:rFonts w:ascii="Tw Cen MT" w:hAnsi="Tw Cen MT"/>
        </w:rPr>
        <w:t>Nos termos das "condições gerais de fornecimento", elaboradas pela Cristal e devida</w:t>
      </w:r>
      <w:r w:rsidR="00A377D0" w:rsidRPr="0087608E">
        <w:rPr>
          <w:rFonts w:ascii="Tw Cen MT" w:hAnsi="Tw Cen MT"/>
        </w:rPr>
        <w:softHyphen/>
        <w:t>mente assinadas pela Béltico em Janeiro, a não reclamação de defeitos no prazo de uma semana depois da instalação corresponde a aceitação da coisa com renúncia a qualquer eventual reclamação;</w:t>
      </w:r>
    </w:p>
    <w:p w:rsidR="0087608E" w:rsidRDefault="0087608E" w:rsidP="0087608E">
      <w:pPr>
        <w:numPr>
          <w:ilvl w:val="0"/>
          <w:numId w:val="2"/>
        </w:numPr>
        <w:shd w:val="clear" w:color="auto" w:fill="DDD9C3"/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>
        <w:rPr>
          <w:rFonts w:ascii="Tw Cen MT" w:hAnsi="Tw Cen MT"/>
        </w:rPr>
        <w:t xml:space="preserve">(2ª cláusula) </w:t>
      </w:r>
      <w:r w:rsidR="00A377D0" w:rsidRPr="0087608E">
        <w:rPr>
          <w:rFonts w:ascii="Tw Cen MT" w:hAnsi="Tw Cen MT"/>
        </w:rPr>
        <w:t>As "condições gerais de fornecimento" estabelecem ainda que "alterações ao presente contrato em sentido favorável ao Cliente consideram-se aceites por este na falta de oposição recebida pela Cristal, S.A. no prazo de uma semana a contar da recepção da comunicação de alteração. Cabe à Cristal, S.A. qualificar a alteração como favorável ou desfavorável ao Cliente.".</w:t>
      </w:r>
    </w:p>
    <w:p w:rsidR="0087608E" w:rsidRDefault="00A377D0" w:rsidP="0087608E">
      <w:pPr>
        <w:numPr>
          <w:ilvl w:val="0"/>
          <w:numId w:val="4"/>
        </w:numPr>
        <w:shd w:val="clear" w:color="auto" w:fill="DDD9C3"/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 w:rsidRPr="0087608E">
        <w:rPr>
          <w:rFonts w:ascii="Tw Cen MT" w:hAnsi="Tw Cen MT"/>
        </w:rPr>
        <w:t>Pronuncie-se, justificadamente, sobre a validade de cada uma das cláusulas do contrato.</w:t>
      </w:r>
    </w:p>
    <w:p w:rsidR="0087608E" w:rsidRPr="0087608E" w:rsidRDefault="00A377D0" w:rsidP="0087608E">
      <w:pPr>
        <w:numPr>
          <w:ilvl w:val="0"/>
          <w:numId w:val="4"/>
        </w:numPr>
        <w:shd w:val="clear" w:color="auto" w:fill="DDD9C3"/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 w:rsidRPr="0087608E">
        <w:rPr>
          <w:rFonts w:ascii="Tw Cen MT" w:hAnsi="Tw Cen MT"/>
        </w:rPr>
        <w:t>Admita agora que as "condições gerais de fornecimento" constavam de um anexo do contrato, redigidas em letra tamanho “</w:t>
      </w:r>
      <w:smartTag w:uri="urn:schemas-microsoft-com:office:smarttags" w:element="metricconverter">
        <w:smartTagPr>
          <w:attr w:name="ProductID" w:val="6”"/>
        </w:smartTagPr>
        <w:r w:rsidRPr="0087608E">
          <w:rPr>
            <w:rFonts w:ascii="Tw Cen MT" w:hAnsi="Tw Cen MT"/>
          </w:rPr>
          <w:t>6”</w:t>
        </w:r>
      </w:smartTag>
      <w:r w:rsidRPr="0087608E">
        <w:rPr>
          <w:rFonts w:ascii="Tw Cen MT" w:hAnsi="Tw Cen MT"/>
        </w:rPr>
        <w:t xml:space="preserve">. </w:t>
      </w:r>
    </w:p>
    <w:p w:rsidR="00A377D0" w:rsidRPr="0087608E" w:rsidRDefault="00A377D0" w:rsidP="0087608E">
      <w:pPr>
        <w:shd w:val="clear" w:color="auto" w:fill="DDD9C3"/>
        <w:spacing w:line="360" w:lineRule="auto"/>
        <w:jc w:val="both"/>
        <w:rPr>
          <w:rFonts w:ascii="Tw Cen MT" w:hAnsi="Tw Cen MT"/>
          <w:sz w:val="28"/>
          <w:u w:val="single"/>
        </w:rPr>
      </w:pPr>
      <w:r w:rsidRPr="0087608E">
        <w:rPr>
          <w:rFonts w:ascii="Tw Cen MT" w:hAnsi="Tw Cen MT"/>
          <w:i/>
        </w:rPr>
        <w:t>Quid iuris</w:t>
      </w:r>
      <w:r w:rsidRPr="0087608E">
        <w:rPr>
          <w:rFonts w:ascii="Tw Cen MT" w:hAnsi="Tw Cen MT"/>
        </w:rPr>
        <w:t>?</w:t>
      </w:r>
    </w:p>
    <w:p w:rsidR="007C17ED" w:rsidRDefault="007C17ED" w:rsidP="002E1152">
      <w:pPr>
        <w:spacing w:line="360" w:lineRule="auto"/>
        <w:jc w:val="both"/>
      </w:pPr>
    </w:p>
    <w:p w:rsidR="00036253" w:rsidRDefault="00036253" w:rsidP="0087608E">
      <w:pPr>
        <w:jc w:val="both"/>
        <w:rPr>
          <w:rFonts w:ascii="Tw Cen MT" w:hAnsi="Tw Cen MT"/>
          <w:b/>
          <w:u w:val="single"/>
        </w:rPr>
      </w:pPr>
    </w:p>
    <w:p w:rsidR="00036253" w:rsidRDefault="00036253" w:rsidP="0087608E">
      <w:pPr>
        <w:jc w:val="both"/>
        <w:rPr>
          <w:rFonts w:ascii="Tw Cen MT" w:hAnsi="Tw Cen MT"/>
          <w:b/>
          <w:u w:val="single"/>
        </w:rPr>
      </w:pPr>
    </w:p>
    <w:p w:rsidR="00036253" w:rsidRDefault="00036253" w:rsidP="0087608E">
      <w:pPr>
        <w:jc w:val="both"/>
        <w:rPr>
          <w:rFonts w:ascii="Tw Cen MT" w:hAnsi="Tw Cen MT"/>
          <w:b/>
          <w:u w:val="single"/>
        </w:rPr>
      </w:pPr>
    </w:p>
    <w:p w:rsidR="00036253" w:rsidRDefault="00036253" w:rsidP="0087608E">
      <w:pPr>
        <w:jc w:val="both"/>
        <w:rPr>
          <w:rFonts w:ascii="Tw Cen MT" w:hAnsi="Tw Cen MT"/>
          <w:b/>
          <w:u w:val="single"/>
        </w:rPr>
      </w:pPr>
    </w:p>
    <w:p w:rsidR="00036253" w:rsidRDefault="00036253" w:rsidP="0087608E">
      <w:pPr>
        <w:jc w:val="both"/>
        <w:rPr>
          <w:rFonts w:ascii="Tw Cen MT" w:hAnsi="Tw Cen MT"/>
          <w:b/>
          <w:u w:val="single"/>
        </w:rPr>
      </w:pPr>
    </w:p>
    <w:p w:rsidR="00036253" w:rsidRDefault="00036253" w:rsidP="0087608E">
      <w:pPr>
        <w:jc w:val="both"/>
        <w:rPr>
          <w:rFonts w:ascii="Tw Cen MT" w:hAnsi="Tw Cen MT"/>
          <w:b/>
          <w:u w:val="single"/>
        </w:rPr>
      </w:pPr>
    </w:p>
    <w:p w:rsidR="0087608E" w:rsidRDefault="0087608E" w:rsidP="00036253">
      <w:pPr>
        <w:spacing w:line="360" w:lineRule="auto"/>
        <w:jc w:val="both"/>
        <w:rPr>
          <w:rFonts w:ascii="Tw Cen MT" w:hAnsi="Tw Cen MT"/>
          <w:b/>
          <w:u w:val="single"/>
        </w:rPr>
      </w:pPr>
      <w:r>
        <w:rPr>
          <w:rFonts w:ascii="Tw Cen MT" w:hAnsi="Tw Cen MT"/>
          <w:b/>
          <w:u w:val="single"/>
        </w:rPr>
        <w:lastRenderedPageBreak/>
        <w:t>Resolução do caso:</w:t>
      </w:r>
    </w:p>
    <w:p w:rsidR="00036253" w:rsidRDefault="0087608E" w:rsidP="00036253">
      <w:pPr>
        <w:spacing w:line="360" w:lineRule="auto"/>
        <w:jc w:val="both"/>
        <w:rPr>
          <w:rFonts w:ascii="Tw Cen MT" w:hAnsi="Tw Cen MT"/>
          <w:b/>
        </w:rPr>
      </w:pPr>
      <w:r>
        <w:rPr>
          <w:rFonts w:ascii="Tw Cen MT" w:hAnsi="Tw Cen MT"/>
          <w:b/>
        </w:rPr>
        <w:t>a)</w:t>
      </w:r>
    </w:p>
    <w:p w:rsidR="0087608E" w:rsidRPr="00036253" w:rsidRDefault="0087608E" w:rsidP="00036253">
      <w:pPr>
        <w:spacing w:line="360" w:lineRule="auto"/>
        <w:jc w:val="both"/>
        <w:rPr>
          <w:rFonts w:ascii="Tw Cen MT" w:hAnsi="Tw Cen MT"/>
          <w:b/>
        </w:rPr>
      </w:pPr>
      <w:r w:rsidRPr="0087608E">
        <w:rPr>
          <w:rFonts w:ascii="Tw Cen MT" w:hAnsi="Tw Cen MT"/>
          <w:u w:val="single"/>
        </w:rPr>
        <w:t>1ª Cláusula:</w:t>
      </w:r>
      <w:r w:rsidRPr="0087608E">
        <w:rPr>
          <w:rFonts w:ascii="Tw Cen MT" w:hAnsi="Tw Cen MT"/>
        </w:rPr>
        <w:t xml:space="preserve"> Cláusula encurta o re</w:t>
      </w:r>
      <w:r>
        <w:rPr>
          <w:rFonts w:ascii="Tw Cen MT" w:hAnsi="Tw Cen MT"/>
        </w:rPr>
        <w:t>gime previsto no artigo 916.º/2, o</w:t>
      </w:r>
      <w:r w:rsidRPr="0087608E">
        <w:rPr>
          <w:rFonts w:ascii="Tw Cen MT" w:hAnsi="Tw Cen MT"/>
        </w:rPr>
        <w:t xml:space="preserve"> que o artigo 22.º/1/g) CCG não permite. A </w:t>
      </w:r>
      <w:r>
        <w:rPr>
          <w:rFonts w:ascii="Tw Cen MT" w:hAnsi="Tw Cen MT"/>
        </w:rPr>
        <w:t xml:space="preserve">Béltico </w:t>
      </w:r>
      <w:r w:rsidRPr="0087608E">
        <w:rPr>
          <w:rFonts w:ascii="Tw Cen MT" w:hAnsi="Tw Cen MT"/>
        </w:rPr>
        <w:t>actua como consumidor final pelo disposto no artigo 17.º CCG. Sendo uma clausula proibida que se verifica é nula pelo artigo 12.º.</w:t>
      </w:r>
    </w:p>
    <w:p w:rsidR="0087608E" w:rsidRPr="0087608E" w:rsidRDefault="0087608E" w:rsidP="00036253">
      <w:pPr>
        <w:spacing w:line="360" w:lineRule="auto"/>
        <w:jc w:val="both"/>
        <w:rPr>
          <w:rFonts w:ascii="Tw Cen MT" w:hAnsi="Tw Cen MT"/>
        </w:rPr>
      </w:pPr>
      <w:r w:rsidRPr="0087608E">
        <w:rPr>
          <w:rFonts w:ascii="Tw Cen MT" w:hAnsi="Tw Cen MT"/>
          <w:u w:val="single"/>
        </w:rPr>
        <w:t>2ª Cláusula:</w:t>
      </w:r>
      <w:r w:rsidRPr="0087608E">
        <w:rPr>
          <w:rFonts w:ascii="Tw Cen MT" w:hAnsi="Tw Cen MT"/>
        </w:rPr>
        <w:t xml:space="preserve"> Cláusula proibida pelo artigo 19.º/d) e pelo artigo 18.º/e) ao abrigo do artigo 20.º que permite que se aplique secções anteriores.</w:t>
      </w:r>
    </w:p>
    <w:p w:rsidR="0087608E" w:rsidRPr="0087608E" w:rsidRDefault="0087608E" w:rsidP="00036253">
      <w:pPr>
        <w:spacing w:line="360" w:lineRule="auto"/>
        <w:jc w:val="both"/>
        <w:rPr>
          <w:rFonts w:ascii="Tw Cen MT" w:hAnsi="Tw Cen MT"/>
        </w:rPr>
      </w:pPr>
      <w:r w:rsidRPr="0087608E">
        <w:rPr>
          <w:rFonts w:ascii="Tw Cen MT" w:hAnsi="Tw Cen MT"/>
        </w:rPr>
        <w:t xml:space="preserve">A 1ª solução, artigo 13.º, </w:t>
      </w:r>
    </w:p>
    <w:p w:rsidR="0087608E" w:rsidRDefault="0087608E" w:rsidP="00036253">
      <w:pPr>
        <w:spacing w:line="360" w:lineRule="auto"/>
        <w:jc w:val="both"/>
        <w:rPr>
          <w:rFonts w:ascii="Tw Cen MT" w:hAnsi="Tw Cen MT"/>
        </w:rPr>
      </w:pPr>
    </w:p>
    <w:p w:rsidR="00036253" w:rsidRDefault="0087608E" w:rsidP="00036253">
      <w:pPr>
        <w:spacing w:line="360" w:lineRule="auto"/>
        <w:jc w:val="both"/>
        <w:rPr>
          <w:rFonts w:ascii="Tw Cen MT" w:hAnsi="Tw Cen MT"/>
          <w:b/>
        </w:rPr>
      </w:pPr>
      <w:r>
        <w:rPr>
          <w:rFonts w:ascii="Tw Cen MT" w:hAnsi="Tw Cen MT"/>
          <w:b/>
        </w:rPr>
        <w:t>b)</w:t>
      </w:r>
    </w:p>
    <w:p w:rsidR="0087608E" w:rsidRPr="00036253" w:rsidRDefault="0087608E" w:rsidP="00036253">
      <w:pPr>
        <w:spacing w:line="360" w:lineRule="auto"/>
        <w:jc w:val="both"/>
        <w:rPr>
          <w:rFonts w:ascii="Tw Cen MT" w:hAnsi="Tw Cen MT"/>
          <w:b/>
        </w:rPr>
      </w:pPr>
      <w:r w:rsidRPr="0087608E">
        <w:rPr>
          <w:rFonts w:ascii="Tw Cen MT" w:hAnsi="Tw Cen MT"/>
        </w:rPr>
        <w:t>Aplica-se aqui o Artigo 8.º/c) CCG</w:t>
      </w:r>
      <w:r>
        <w:rPr>
          <w:rFonts w:ascii="Tw Cen MT" w:hAnsi="Tw Cen MT"/>
        </w:rPr>
        <w:t>.</w:t>
      </w:r>
    </w:p>
    <w:p w:rsidR="0087608E" w:rsidRPr="0087608E" w:rsidRDefault="0087608E" w:rsidP="0087608E">
      <w:pPr>
        <w:jc w:val="both"/>
        <w:rPr>
          <w:rFonts w:ascii="Tw Cen MT" w:hAnsi="Tw Cen MT"/>
        </w:rPr>
      </w:pPr>
    </w:p>
    <w:p w:rsidR="0087608E" w:rsidRPr="00A377D0" w:rsidRDefault="0087608E" w:rsidP="002E1152">
      <w:pPr>
        <w:spacing w:line="360" w:lineRule="auto"/>
        <w:jc w:val="both"/>
      </w:pPr>
    </w:p>
    <w:sectPr w:rsidR="0087608E" w:rsidRPr="00A37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17"/>
    <w:multiLevelType w:val="hybridMultilevel"/>
    <w:tmpl w:val="AF642A72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D7E78"/>
    <w:multiLevelType w:val="hybridMultilevel"/>
    <w:tmpl w:val="1D76848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4D365C"/>
    <w:multiLevelType w:val="hybridMultilevel"/>
    <w:tmpl w:val="2D9C1E5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D129DF"/>
    <w:multiLevelType w:val="hybridMultilevel"/>
    <w:tmpl w:val="3746C23A"/>
    <w:lvl w:ilvl="0" w:tplc="A798EEDA">
      <w:start w:val="1"/>
      <w:numFmt w:val="decimal"/>
      <w:lvlText w:val="%1."/>
      <w:lvlJc w:val="left"/>
      <w:pPr>
        <w:ind w:left="360" w:hanging="360"/>
      </w:pPr>
    </w:lvl>
    <w:lvl w:ilvl="1" w:tplc="AFDAD11E">
      <w:start w:val="1"/>
      <w:numFmt w:val="lowerLetter"/>
      <w:lvlText w:val="%2."/>
      <w:lvlJc w:val="left"/>
      <w:pPr>
        <w:ind w:left="720" w:hanging="360"/>
      </w:pPr>
    </w:lvl>
    <w:lvl w:ilvl="2" w:tplc="0AF6C4E8">
      <w:start w:val="1"/>
      <w:numFmt w:val="lowerRoman"/>
      <w:lvlText w:val="%3."/>
      <w:lvlJc w:val="right"/>
      <w:pPr>
        <w:ind w:left="1080" w:hanging="360"/>
      </w:pPr>
    </w:lvl>
    <w:lvl w:ilvl="3" w:tplc="AC748440">
      <w:start w:val="1"/>
      <w:numFmt w:val="decimal"/>
      <w:lvlText w:val="%4."/>
      <w:lvlJc w:val="left"/>
      <w:pPr>
        <w:ind w:left="1440" w:hanging="360"/>
      </w:pPr>
    </w:lvl>
    <w:lvl w:ilvl="4" w:tplc="EDFA13B8">
      <w:start w:val="1"/>
      <w:numFmt w:val="lowerLetter"/>
      <w:lvlText w:val="%5."/>
      <w:lvlJc w:val="left"/>
      <w:pPr>
        <w:ind w:left="1800" w:hanging="360"/>
      </w:pPr>
    </w:lvl>
    <w:lvl w:ilvl="5" w:tplc="DE28697C">
      <w:start w:val="1"/>
      <w:numFmt w:val="lowerRoman"/>
      <w:lvlText w:val="%6."/>
      <w:lvlJc w:val="right"/>
      <w:pPr>
        <w:ind w:left="2160" w:hanging="360"/>
      </w:pPr>
    </w:lvl>
    <w:lvl w:ilvl="6" w:tplc="5A8C4462">
      <w:start w:val="1"/>
      <w:numFmt w:val="decimal"/>
      <w:lvlText w:val="%7."/>
      <w:lvlJc w:val="left"/>
      <w:pPr>
        <w:ind w:left="2520" w:hanging="360"/>
      </w:pPr>
    </w:lvl>
    <w:lvl w:ilvl="7" w:tplc="ED66F3B4">
      <w:start w:val="1"/>
      <w:numFmt w:val="lowerLetter"/>
      <w:lvlText w:val="%8."/>
      <w:lvlJc w:val="left"/>
      <w:pPr>
        <w:ind w:left="2880" w:hanging="360"/>
      </w:pPr>
    </w:lvl>
    <w:lvl w:ilvl="8" w:tplc="FA182C00">
      <w:start w:val="1"/>
      <w:numFmt w:val="lowerRoman"/>
      <w:lvlText w:val="%9."/>
      <w:lvlJc w:val="righ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0A769F"/>
    <w:rsid w:val="00036253"/>
    <w:rsid w:val="00095FD9"/>
    <w:rsid w:val="000A769F"/>
    <w:rsid w:val="002C184B"/>
    <w:rsid w:val="002E1152"/>
    <w:rsid w:val="005D45D5"/>
    <w:rsid w:val="00614C8F"/>
    <w:rsid w:val="00750A02"/>
    <w:rsid w:val="007C17ED"/>
    <w:rsid w:val="0087608E"/>
    <w:rsid w:val="00A377D0"/>
    <w:rsid w:val="00C4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imples">
    <w:name w:val="Plain Text"/>
    <w:basedOn w:val="Normal"/>
    <w:link w:val="TextosimplesCarcter"/>
    <w:rsid w:val="00A377D0"/>
    <w:pPr>
      <w:spacing w:line="360" w:lineRule="auto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TextosimplesCarcter">
    <w:name w:val="Texto simples Carácter"/>
    <w:link w:val="Textosimples"/>
    <w:rsid w:val="00A377D0"/>
    <w:rPr>
      <w:rFonts w:ascii="Courier New" w:hAnsi="Courier New" w:cs="Courier New"/>
      <w:lang w:val="pt-PT" w:eastAsia="pt-PT" w:bidi="ar-SA"/>
    </w:rPr>
  </w:style>
  <w:style w:type="paragraph" w:customStyle="1" w:styleId="Ttulo11">
    <w:name w:val="Título 11"/>
    <w:basedOn w:val="Normal"/>
    <w:next w:val="Normal"/>
    <w:link w:val="Ttulo1Carcter"/>
    <w:qFormat/>
    <w:rsid w:val="0087608E"/>
    <w:pPr>
      <w:spacing w:before="340" w:after="320" w:line="360" w:lineRule="auto"/>
    </w:pPr>
    <w:rPr>
      <w:rFonts w:ascii="Tw Cen MT" w:hAnsi="Tw Cen MT"/>
      <w:b/>
      <w:sz w:val="44"/>
      <w:szCs w:val="20"/>
    </w:rPr>
  </w:style>
  <w:style w:type="character" w:customStyle="1" w:styleId="Ttulo1Carcter">
    <w:name w:val="Título 1 Carácter"/>
    <w:basedOn w:val="Tipodeletrapredefinidodopargrafo"/>
    <w:link w:val="Ttulo11"/>
    <w:rsid w:val="0087608E"/>
    <w:rPr>
      <w:rFonts w:ascii="Tw Cen MT" w:hAnsi="Tw Cen MT"/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836E6-1046-475F-BBE8-2823A5C1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Empresa Parafusos Florescentes dirigiu-se ao Banco BAC para solicitar a concessão de crédito bancário, um empréstimo de € 100 000 com um prazo de 10 anos</vt:lpstr>
      <vt:lpstr>A Empresa Parafusos Florescentes dirigiu-se ao Banco BAC para solicitar a concessão de crédito bancário, um empréstimo de € 100 000 com um prazo de 10 anos</vt:lpstr>
    </vt:vector>
  </TitlesOfParts>
  <Company>.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Empresa Parafusos Florescentes dirigiu-se ao Banco BAC para solicitar a concessão de crédito bancário, um empréstimo de € 100 000 com um prazo de 10 anos</dc:title>
  <dc:creator>Elisabete Duarte Santos</dc:creator>
  <cp:lastModifiedBy>Tiago</cp:lastModifiedBy>
  <cp:revision>2</cp:revision>
  <dcterms:created xsi:type="dcterms:W3CDTF">2012-05-13T07:05:00Z</dcterms:created>
  <dcterms:modified xsi:type="dcterms:W3CDTF">2012-05-13T07:05:00Z</dcterms:modified>
</cp:coreProperties>
</file>