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B" w:rsidRDefault="00291FCB" w:rsidP="005F0671">
      <w:pPr>
        <w:pStyle w:val="Ttulo11"/>
        <w:spacing w:before="0" w:after="0" w:line="240" w:lineRule="auto"/>
        <w:jc w:val="center"/>
        <w:rPr>
          <w:sz w:val="48"/>
        </w:rPr>
      </w:pPr>
      <w:r>
        <w:rPr>
          <w:sz w:val="48"/>
        </w:rPr>
        <w:t>Teoria Geral do Direito Civil II</w:t>
      </w:r>
    </w:p>
    <w:p w:rsidR="00291FCB" w:rsidRDefault="00291FCB" w:rsidP="005F0671">
      <w:pPr>
        <w:pStyle w:val="Ttulo11"/>
        <w:spacing w:before="0" w:after="0" w:line="240" w:lineRule="auto"/>
        <w:jc w:val="center"/>
        <w:rPr>
          <w:b w:val="0"/>
          <w:sz w:val="28"/>
        </w:rPr>
      </w:pPr>
      <w:r>
        <w:rPr>
          <w:b w:val="0"/>
          <w:sz w:val="28"/>
        </w:rPr>
        <w:t>(Práticas)</w:t>
      </w:r>
    </w:p>
    <w:p w:rsidR="00A32D28" w:rsidRDefault="00A32D28" w:rsidP="005F0671">
      <w:pPr>
        <w:jc w:val="center"/>
        <w:rPr>
          <w:rFonts w:ascii="Tw Cen MT" w:hAnsi="Tw Cen MT"/>
          <w:b/>
          <w:sz w:val="32"/>
          <w:highlight w:val="red"/>
        </w:rPr>
      </w:pPr>
    </w:p>
    <w:p w:rsidR="00291FCB" w:rsidRDefault="00070E7D" w:rsidP="005F0671">
      <w:pPr>
        <w:jc w:val="center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32"/>
          <w:highlight w:val="red"/>
        </w:rPr>
        <w:t>4</w:t>
      </w:r>
      <w:r w:rsidR="00291FCB" w:rsidRPr="00C82DBB">
        <w:rPr>
          <w:rFonts w:ascii="Tw Cen MT" w:hAnsi="Tw Cen MT"/>
          <w:b/>
          <w:sz w:val="32"/>
          <w:highlight w:val="red"/>
        </w:rPr>
        <w:t>ºs Casos Práticos</w:t>
      </w:r>
    </w:p>
    <w:p w:rsidR="00291FCB" w:rsidRDefault="00291FCB" w:rsidP="005F0671">
      <w:pPr>
        <w:spacing w:line="360" w:lineRule="auto"/>
        <w:jc w:val="center"/>
        <w:rPr>
          <w:b/>
          <w:sz w:val="26"/>
        </w:rPr>
      </w:pPr>
    </w:p>
    <w:p w:rsidR="005F0671" w:rsidRDefault="005F0671" w:rsidP="005F0671">
      <w:pPr>
        <w:spacing w:line="360" w:lineRule="auto"/>
        <w:rPr>
          <w:b/>
          <w:sz w:val="26"/>
        </w:rPr>
      </w:pPr>
    </w:p>
    <w:p w:rsidR="00291FCB" w:rsidRDefault="00070E7D" w:rsidP="00757988">
      <w:pPr>
        <w:shd w:val="clear" w:color="auto" w:fill="DDD9C3"/>
        <w:spacing w:line="360" w:lineRule="auto"/>
        <w:jc w:val="both"/>
        <w:rPr>
          <w:rFonts w:ascii="Tw Cen MT" w:hAnsi="Tw Cen MT"/>
          <w:b/>
          <w:sz w:val="28"/>
          <w:u w:val="single"/>
        </w:rPr>
      </w:pPr>
      <w:r>
        <w:rPr>
          <w:rFonts w:ascii="Tw Cen MT" w:hAnsi="Tw Cen MT"/>
          <w:b/>
          <w:sz w:val="28"/>
          <w:u w:val="single"/>
        </w:rPr>
        <w:t>Hipótese n.º 23</w:t>
      </w:r>
    </w:p>
    <w:p w:rsidR="00757988" w:rsidRPr="00757988" w:rsidRDefault="00757988" w:rsidP="00757988">
      <w:pPr>
        <w:shd w:val="clear" w:color="auto" w:fill="DDD9C3"/>
        <w:spacing w:line="360" w:lineRule="auto"/>
        <w:jc w:val="both"/>
        <w:rPr>
          <w:rFonts w:ascii="Tw Cen MT" w:hAnsi="Tw Cen MT"/>
          <w:szCs w:val="24"/>
        </w:rPr>
      </w:pPr>
      <w:r w:rsidRPr="00757988">
        <w:rPr>
          <w:rFonts w:ascii="Tw Cen MT" w:hAnsi="Tw Cen MT"/>
          <w:szCs w:val="24"/>
        </w:rPr>
        <w:t>A Sociedade Serviços Bancários S.A. foi escolhida por um Banco para desenvolver um software que permitisse executar todos os débitos directos dos seus clientes. O preço acordado foi de €1.000.000,00, devendo o produto ser entregue ao Banco no dia 15 de Março de 2010.</w:t>
      </w:r>
    </w:p>
    <w:p w:rsidR="00757988" w:rsidRPr="00757988" w:rsidRDefault="00757988" w:rsidP="00757988">
      <w:pPr>
        <w:shd w:val="clear" w:color="auto" w:fill="DDD9C3"/>
        <w:spacing w:line="360" w:lineRule="auto"/>
        <w:jc w:val="both"/>
        <w:rPr>
          <w:rFonts w:ascii="Tw Cen MT" w:hAnsi="Tw Cen MT"/>
          <w:szCs w:val="24"/>
        </w:rPr>
      </w:pPr>
      <w:r w:rsidRPr="00757988">
        <w:rPr>
          <w:rFonts w:ascii="Tw Cen MT" w:hAnsi="Tw Cen MT"/>
          <w:szCs w:val="24"/>
        </w:rPr>
        <w:t>O contrato foi assinado no dia 5 de Janeiro de 2010, dia em que por descuido de um empregado de limpeza da Serviços Bancários, um administrador do Banco, que ia assinar o contrato, escorregou em piso molhado, tendo partido uma perna, o que o impediu de trabalhar por mais de dois meses.</w:t>
      </w:r>
    </w:p>
    <w:p w:rsidR="00757988" w:rsidRPr="00757988" w:rsidRDefault="00757988" w:rsidP="00757988">
      <w:pPr>
        <w:shd w:val="clear" w:color="auto" w:fill="DDD9C3"/>
        <w:spacing w:line="360" w:lineRule="auto"/>
        <w:jc w:val="both"/>
        <w:rPr>
          <w:rFonts w:ascii="Tw Cen MT" w:hAnsi="Tw Cen MT"/>
          <w:szCs w:val="24"/>
        </w:rPr>
      </w:pPr>
      <w:r w:rsidRPr="00757988">
        <w:rPr>
          <w:rFonts w:ascii="Tw Cen MT" w:hAnsi="Tw Cen MT"/>
          <w:szCs w:val="24"/>
        </w:rPr>
        <w:t>Com vista a executar aquele contrato foi realizado um concurso para a selecção de um Engenheiro Informático altamente especializado. No processo de selecção, em que participaram 60 candidatos, a Sociedade Serviços Bancários S.A., investiu € 2.500,00, que pagou a uma empresa de recrutamento e gestão de recursos humanos.</w:t>
      </w:r>
    </w:p>
    <w:p w:rsidR="00757988" w:rsidRDefault="00757988" w:rsidP="00757988">
      <w:pPr>
        <w:shd w:val="clear" w:color="auto" w:fill="DDD9C3"/>
        <w:spacing w:line="360" w:lineRule="auto"/>
        <w:jc w:val="both"/>
        <w:rPr>
          <w:rFonts w:ascii="Tw Cen MT" w:hAnsi="Tw Cen MT"/>
          <w:szCs w:val="24"/>
        </w:rPr>
      </w:pPr>
      <w:r w:rsidRPr="00757988">
        <w:rPr>
          <w:rFonts w:ascii="Tw Cen MT" w:hAnsi="Tw Cen MT"/>
          <w:szCs w:val="24"/>
        </w:rPr>
        <w:t>Após duas semanas de selecção foi escolhida Maria, combinando-se a sua apresentação ao serviço e a celebração do contrato de trabalho no dia 2 de Fevereiro. Na data acordada Maria não compareceu nas instalações, tendo a Sociedade dela recebido uma carta em que se informava que por força de uma depressão iniciada no ano anterior Maria não poderia aceitar o lugar.</w:t>
      </w:r>
    </w:p>
    <w:p w:rsidR="00757988" w:rsidRPr="00757988" w:rsidRDefault="00757988" w:rsidP="00757988">
      <w:pPr>
        <w:shd w:val="clear" w:color="auto" w:fill="DDD9C3"/>
        <w:spacing w:line="360" w:lineRule="auto"/>
        <w:jc w:val="both"/>
        <w:rPr>
          <w:rFonts w:ascii="Tw Cen MT" w:hAnsi="Tw Cen MT"/>
          <w:szCs w:val="24"/>
        </w:rPr>
      </w:pPr>
      <w:r w:rsidRPr="00757988">
        <w:rPr>
          <w:rFonts w:ascii="Tw Cen MT" w:hAnsi="Tw Cen MT"/>
          <w:szCs w:val="24"/>
        </w:rPr>
        <w:t xml:space="preserve">Tendo havido a necessidade de lançar novo concurso, a Serviços Bancários S.A. não conseguiu executar o software a tempo, nem em prazo suplementar que lhe foi fixado, pelo que o Banco resolveu o contrato e recusou-se a efectuar qualquer pagamento. </w:t>
      </w:r>
    </w:p>
    <w:p w:rsidR="00757988" w:rsidRPr="00757988" w:rsidRDefault="00757988" w:rsidP="00757988">
      <w:pPr>
        <w:shd w:val="clear" w:color="auto" w:fill="DDD9C3"/>
        <w:spacing w:line="360" w:lineRule="auto"/>
        <w:rPr>
          <w:rFonts w:ascii="Tw Cen MT" w:hAnsi="Tw Cen MT"/>
          <w:i/>
          <w:szCs w:val="24"/>
        </w:rPr>
      </w:pPr>
      <w:r w:rsidRPr="00757988">
        <w:rPr>
          <w:rFonts w:ascii="Tw Cen MT" w:hAnsi="Tw Cen MT"/>
          <w:i/>
          <w:szCs w:val="24"/>
        </w:rPr>
        <w:t>Quid Juris?</w:t>
      </w:r>
    </w:p>
    <w:p w:rsidR="00291FCB" w:rsidRDefault="00291FCB" w:rsidP="005F0671">
      <w:pPr>
        <w:spacing w:line="360" w:lineRule="auto"/>
        <w:jc w:val="both"/>
        <w:rPr>
          <w:rFonts w:ascii="Tw Cen MT" w:hAnsi="Tw Cen MT"/>
        </w:rPr>
      </w:pPr>
    </w:p>
    <w:p w:rsidR="00291FCB" w:rsidRDefault="00291FCB" w:rsidP="005F0671">
      <w:pPr>
        <w:spacing w:line="360" w:lineRule="auto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  <w:b/>
          <w:u w:val="single"/>
        </w:rPr>
        <w:t>Resolução do caso:</w:t>
      </w:r>
      <w:r w:rsidR="006075F5">
        <w:rPr>
          <w:rFonts w:ascii="Tw Cen MT" w:hAnsi="Tw Cen MT"/>
          <w:b/>
        </w:rPr>
        <w:t xml:space="preserve"> </w:t>
      </w:r>
      <w:r w:rsidR="006075F5">
        <w:rPr>
          <w:rFonts w:ascii="Tw Cen MT" w:hAnsi="Tw Cen MT"/>
          <w:b/>
          <w:color w:val="FF0000"/>
        </w:rPr>
        <w:t>ver "Da Responsabilidade..." Professora Ana Prata</w:t>
      </w:r>
    </w:p>
    <w:p w:rsidR="006075F5" w:rsidRDefault="006075F5" w:rsidP="005F0671">
      <w:p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Responsabilidade no caso do administrador</w:t>
      </w:r>
    </w:p>
    <w:p w:rsidR="006075F5" w:rsidRPr="003C3D56" w:rsidRDefault="006075F5" w:rsidP="006075F5">
      <w:pPr>
        <w:numPr>
          <w:ilvl w:val="0"/>
          <w:numId w:val="7"/>
        </w:numPr>
        <w:spacing w:line="360" w:lineRule="auto"/>
        <w:jc w:val="both"/>
        <w:rPr>
          <w:rFonts w:ascii="Tw Cen MT" w:hAnsi="Tw Cen MT"/>
        </w:rPr>
      </w:pPr>
      <w:r w:rsidRPr="003C3D56">
        <w:rPr>
          <w:rFonts w:ascii="Tw Cen MT" w:hAnsi="Tw Cen MT"/>
        </w:rPr>
        <w:t>Da boa fé, artigo 762.º/2, extraem-se 3 deveres:</w:t>
      </w:r>
    </w:p>
    <w:p w:rsidR="006075F5" w:rsidRDefault="006075F5" w:rsidP="006075F5">
      <w:pPr>
        <w:numPr>
          <w:ilvl w:val="0"/>
          <w:numId w:val="9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Informação</w:t>
      </w:r>
    </w:p>
    <w:p w:rsidR="006075F5" w:rsidRDefault="006075F5" w:rsidP="006075F5">
      <w:pPr>
        <w:numPr>
          <w:ilvl w:val="0"/>
          <w:numId w:val="9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Lealdade</w:t>
      </w:r>
    </w:p>
    <w:p w:rsidR="006075F5" w:rsidRDefault="006075F5" w:rsidP="006075F5">
      <w:pPr>
        <w:numPr>
          <w:ilvl w:val="0"/>
          <w:numId w:val="9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Protecção e segurança: entre nós, a existência deste dever não faz sentido pelo facto de existir no nosso ordenamento jurídico o artigo 500.º (o que não se verifica na Alemanha e dai a existência desde dever o qual nós "copiamos"). </w:t>
      </w:r>
    </w:p>
    <w:p w:rsidR="006075F5" w:rsidRDefault="006075F5" w:rsidP="006075F5">
      <w:pPr>
        <w:spacing w:line="360" w:lineRule="auto"/>
        <w:ind w:left="720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Segundo a Professora, concordando com o Professor Pedro Pais Vasconcelos, apenas se justifica a existência deste dever se os danos tiverem relacionados com o objecto do contrato, </w:t>
      </w:r>
      <w:r w:rsidRPr="006075F5">
        <w:rPr>
          <w:rFonts w:ascii="Tw Cen MT" w:hAnsi="Tw Cen MT"/>
          <w:i/>
        </w:rPr>
        <w:t>dano cicarréno</w:t>
      </w:r>
      <w:r>
        <w:rPr>
          <w:rFonts w:ascii="Tw Cen MT" w:hAnsi="Tw Cen MT"/>
        </w:rPr>
        <w:t xml:space="preserve">. </w:t>
      </w:r>
    </w:p>
    <w:p w:rsidR="003C3D56" w:rsidRDefault="003C3D56" w:rsidP="003C3D56">
      <w:pPr>
        <w:numPr>
          <w:ilvl w:val="0"/>
          <w:numId w:val="7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O Professor Menezes Cordeiro defende, ainda, uma proximidade entre os regimes da responsabilidade pré-contratual e, da responsabilidade contratual, equiparando assim o artigo 227.º ao 798.º. Neste regime, vigora o princípio da inversão do ónus da prova, artigo 799.º/1. Por contraposição, tem-se o regime da responsabilidade extra-contratual, previsto no artigo 483.º, a denominada responsabilidade civil. No caso concrecto tratando-se de um caso de responsabilidade do comitente aplica-se o artigo 500.º e não há aqui qualquer inversão do ónus da prova, artigo 487.º.</w:t>
      </w:r>
    </w:p>
    <w:p w:rsidR="003C3D56" w:rsidRPr="003C3D56" w:rsidRDefault="003C3D56" w:rsidP="003C3D56">
      <w:pPr>
        <w:numPr>
          <w:ilvl w:val="0"/>
          <w:numId w:val="7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Concluindo: no caso concrecto aplicar-se-á a responsabilidade extra-contratual do artigo 500.º uma vez que o dano não está directamente relacionado com o objecto do contrato assim como não está a situação da casca da banana, por exemplo.</w:t>
      </w:r>
    </w:p>
    <w:p w:rsidR="003C3D56" w:rsidRDefault="003C3D56" w:rsidP="003C3D56">
      <w:pPr>
        <w:spacing w:line="360" w:lineRule="auto"/>
        <w:jc w:val="both"/>
        <w:rPr>
          <w:rFonts w:ascii="Tw Cen MT" w:hAnsi="Tw Cen MT"/>
          <w:b/>
        </w:rPr>
      </w:pPr>
    </w:p>
    <w:p w:rsidR="003C3D56" w:rsidRDefault="003C3D56" w:rsidP="003C3D56">
      <w:pPr>
        <w:spacing w:line="36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>Contrato da Maria</w:t>
      </w:r>
    </w:p>
    <w:p w:rsidR="009911D7" w:rsidRDefault="003C3D56" w:rsidP="003C3D56">
      <w:pPr>
        <w:numPr>
          <w:ilvl w:val="0"/>
          <w:numId w:val="1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Maria viola os deveres de informação e de lealdade. Nota: não tem que relevar tudo, apenas o que for relevante para o contrato, o que no caso concrecto não se verificou.</w:t>
      </w:r>
    </w:p>
    <w:p w:rsidR="003C3D56" w:rsidRDefault="003C3D56" w:rsidP="003C3D56">
      <w:pPr>
        <w:numPr>
          <w:ilvl w:val="0"/>
          <w:numId w:val="1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Não tendo informado agiu de má fé. Assim, deve indemnizar pelos danos causados.</w:t>
      </w:r>
      <w:r w:rsidR="005940AA">
        <w:rPr>
          <w:rFonts w:ascii="Tw Cen MT" w:hAnsi="Tw Cen MT"/>
        </w:rPr>
        <w:t xml:space="preserve"> Mas quais? Os danos de interesse contratual negativo? Os danos de interesse contratual positivo? Cabe em primeiro lugar distingui-los: </w:t>
      </w:r>
    </w:p>
    <w:p w:rsidR="005940AA" w:rsidRPr="0074386C" w:rsidRDefault="005940AA" w:rsidP="005940AA">
      <w:pPr>
        <w:numPr>
          <w:ilvl w:val="0"/>
          <w:numId w:val="12"/>
        </w:numPr>
        <w:spacing w:line="360" w:lineRule="auto"/>
        <w:jc w:val="both"/>
        <w:rPr>
          <w:rFonts w:ascii="Tw Cen MT" w:hAnsi="Tw Cen MT"/>
          <w:color w:val="FF0000"/>
          <w:u w:val="single"/>
        </w:rPr>
      </w:pPr>
      <w:r w:rsidRPr="0074386C">
        <w:rPr>
          <w:rFonts w:ascii="Tw Cen MT" w:hAnsi="Tw Cen MT"/>
          <w:color w:val="FF0000"/>
          <w:u w:val="single"/>
        </w:rPr>
        <w:t>Danos de interesse contratual negativo:</w:t>
      </w:r>
    </w:p>
    <w:p w:rsidR="005940AA" w:rsidRPr="0074386C" w:rsidRDefault="005940AA" w:rsidP="005940AA">
      <w:pPr>
        <w:numPr>
          <w:ilvl w:val="0"/>
          <w:numId w:val="12"/>
        </w:numPr>
        <w:spacing w:line="360" w:lineRule="auto"/>
        <w:jc w:val="both"/>
        <w:rPr>
          <w:rFonts w:ascii="Tw Cen MT" w:hAnsi="Tw Cen MT"/>
          <w:color w:val="FF0000"/>
          <w:u w:val="single"/>
        </w:rPr>
      </w:pPr>
      <w:r w:rsidRPr="0074386C">
        <w:rPr>
          <w:rFonts w:ascii="Tw Cen MT" w:hAnsi="Tw Cen MT"/>
          <w:color w:val="FF0000"/>
          <w:u w:val="single"/>
        </w:rPr>
        <w:t>Danos de interesse contratual positivo:</w:t>
      </w:r>
    </w:p>
    <w:p w:rsidR="005940AA" w:rsidRDefault="005940AA" w:rsidP="005940AA">
      <w:pPr>
        <w:numPr>
          <w:ilvl w:val="0"/>
          <w:numId w:val="1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impossibilidade de Maria é definitiva tendo em conta o prazo do contrato. É também uma impossibilidade subjectiva e, nesse sentido, remete para o artigo 280.º/1. Para se "efectivar" o artigo 280.º/1, devem estar reunidas as seguintes características:</w:t>
      </w:r>
    </w:p>
    <w:p w:rsidR="005940AA" w:rsidRPr="005940AA" w:rsidRDefault="005940AA" w:rsidP="005940AA">
      <w:pPr>
        <w:numPr>
          <w:ilvl w:val="0"/>
          <w:numId w:val="1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impossibilidade deve ser originária</w:t>
      </w:r>
    </w:p>
    <w:p w:rsidR="005940AA" w:rsidRDefault="005940AA" w:rsidP="005940AA">
      <w:pPr>
        <w:numPr>
          <w:ilvl w:val="0"/>
          <w:numId w:val="1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impossibilidade deve ser definitiva</w:t>
      </w:r>
    </w:p>
    <w:p w:rsidR="005940AA" w:rsidRDefault="005940AA" w:rsidP="005940AA">
      <w:pPr>
        <w:numPr>
          <w:ilvl w:val="0"/>
          <w:numId w:val="1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 impossibilidade deve ser em sentido estrito, não uma mera impossibildiade económica (ainda que quando esta seja muito significante seja equiparada à impossibilidade em sentido estrito)</w:t>
      </w:r>
    </w:p>
    <w:p w:rsidR="005940AA" w:rsidRPr="0074386C" w:rsidRDefault="005940AA" w:rsidP="005940AA">
      <w:pPr>
        <w:numPr>
          <w:ilvl w:val="0"/>
          <w:numId w:val="14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 impossibilidade deve ser absoluta (regra geral). Todavia, quando se trate de um contrato </w:t>
      </w:r>
      <w:r w:rsidRPr="005940AA">
        <w:rPr>
          <w:rFonts w:ascii="Tw Cen MT" w:hAnsi="Tw Cen MT"/>
          <w:i/>
        </w:rPr>
        <w:t>intuitu personae</w:t>
      </w:r>
      <w:r>
        <w:rPr>
          <w:rFonts w:ascii="Tw Cen MT" w:hAnsi="Tw Cen MT"/>
        </w:rPr>
        <w:t xml:space="preserve">, vg artigo 767.º/2 (caso do pintor X...), justifica-se que seja relativa. No caso concrecto, tem-se uma impossibilidade relativa. </w:t>
      </w:r>
    </w:p>
    <w:p w:rsidR="005940AA" w:rsidRDefault="0074386C" w:rsidP="0074386C">
      <w:pPr>
        <w:numPr>
          <w:ilvl w:val="0"/>
          <w:numId w:val="1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Na responsabilidade pré-contratual o dano interesse contratual é negativo. Todavia, na opinião do Professor Menezes Cordeiro, não há lugar a esta distinção "positivo/negativo" e, assim, deve-se aplicar o artigo 563.º relativo à existência de um nexo de causalidade, vg no caso da vaca não nexo de causalidade entre o atropelamento da vaca e o suicídio do agricultor. </w:t>
      </w:r>
    </w:p>
    <w:p w:rsidR="0074386C" w:rsidRPr="0074386C" w:rsidRDefault="0074386C" w:rsidP="0074386C">
      <w:pPr>
        <w:numPr>
          <w:ilvl w:val="0"/>
          <w:numId w:val="1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Atendendo ao que foi dito, deve a Maria ressarcir pelos 2500€ e não pelo milhão de euros, salvo se soubesse desse valor, isto é, salvo se soubesse que o sua contratação tinha o propósito de produzir o software relativo ao contrato do milhão de euros. </w:t>
      </w:r>
    </w:p>
    <w:sectPr w:rsidR="0074386C" w:rsidRPr="0074386C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1F" w:rsidRDefault="0006071F">
      <w:r>
        <w:separator/>
      </w:r>
    </w:p>
  </w:endnote>
  <w:endnote w:type="continuationSeparator" w:id="0">
    <w:p w:rsidR="0006071F" w:rsidRDefault="0006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1F" w:rsidRDefault="0006071F">
      <w:r>
        <w:separator/>
      </w:r>
    </w:p>
  </w:footnote>
  <w:footnote w:type="continuationSeparator" w:id="0">
    <w:p w:rsidR="0006071F" w:rsidRDefault="00060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5BA65E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6">
    <w:nsid w:val="15064C31"/>
    <w:multiLevelType w:val="hybridMultilevel"/>
    <w:tmpl w:val="37CAC2C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21D8E"/>
    <w:multiLevelType w:val="hybridMultilevel"/>
    <w:tmpl w:val="0668233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3099A"/>
    <w:multiLevelType w:val="hybridMultilevel"/>
    <w:tmpl w:val="1DDCEE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5FD5"/>
    <w:multiLevelType w:val="hybridMultilevel"/>
    <w:tmpl w:val="81D404C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E2EDB"/>
    <w:multiLevelType w:val="hybridMultilevel"/>
    <w:tmpl w:val="77462E8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D51FF"/>
    <w:multiLevelType w:val="hybridMultilevel"/>
    <w:tmpl w:val="DC4E1AD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05DAA"/>
    <w:multiLevelType w:val="hybridMultilevel"/>
    <w:tmpl w:val="3A6A4BB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6452E"/>
    <w:multiLevelType w:val="hybridMultilevel"/>
    <w:tmpl w:val="8298A5F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022"/>
    <w:rsid w:val="0004399A"/>
    <w:rsid w:val="0006071F"/>
    <w:rsid w:val="00070E7D"/>
    <w:rsid w:val="00111022"/>
    <w:rsid w:val="00160886"/>
    <w:rsid w:val="00291FCB"/>
    <w:rsid w:val="00304FDE"/>
    <w:rsid w:val="0035547C"/>
    <w:rsid w:val="003C3D56"/>
    <w:rsid w:val="003E48E3"/>
    <w:rsid w:val="005940AA"/>
    <w:rsid w:val="005F0671"/>
    <w:rsid w:val="006075F5"/>
    <w:rsid w:val="006B23F0"/>
    <w:rsid w:val="0074386C"/>
    <w:rsid w:val="00757988"/>
    <w:rsid w:val="00872D79"/>
    <w:rsid w:val="008A237F"/>
    <w:rsid w:val="009911D7"/>
    <w:rsid w:val="00A32D28"/>
    <w:rsid w:val="00B1524C"/>
    <w:rsid w:val="00B543A4"/>
    <w:rsid w:val="00BE1A6A"/>
    <w:rsid w:val="00C82DBB"/>
    <w:rsid w:val="00FA18D7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customStyle="1" w:styleId="Tipodeletrapredefinidodopargrafo">
    <w:name w:val="Default Paragraph Font"/>
    <w:uiPriority w:val="1"/>
  </w:style>
  <w:style w:type="table" w:default="1" w:customStyle="1" w:styleId="Tabelanormal">
    <w:name w:val="Normal Table"/>
    <w:next w:val="Normal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customStyle="1" w:styleId="Semlista">
    <w:name w:val="No List"/>
    <w:next w:val="Normal"/>
    <w:uiPriority w:val="99"/>
  </w:style>
  <w:style w:type="character" w:customStyle="1" w:styleId="Tipodeletrapredefinidodopargrafo1">
    <w:name w:val="Tipo de letra predefinido do parágrafo1"/>
    <w:semiHidden/>
  </w:style>
  <w:style w:type="table" w:customStyle="1" w:styleId="Tabelanormal1">
    <w:name w:val="Tabela normal1"/>
    <w:next w:val="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rmal"/>
    <w:semiHidden/>
  </w:style>
  <w:style w:type="paragraph" w:customStyle="1" w:styleId="Ttulo11">
    <w:name w:val="Título 11"/>
    <w:basedOn w:val="Normal"/>
    <w:next w:val="Normal"/>
    <w:link w:val="Ttulo1Carcter"/>
    <w:qFormat/>
    <w:pPr>
      <w:spacing w:before="340" w:after="320" w:line="360" w:lineRule="auto"/>
    </w:pPr>
    <w:rPr>
      <w:rFonts w:ascii="Tw Cen MT" w:hAnsi="Tw Cen MT"/>
      <w:b/>
      <w:sz w:val="44"/>
    </w:rPr>
  </w:style>
  <w:style w:type="paragraph" w:customStyle="1" w:styleId="Cabealho1">
    <w:name w:val="Cabeçalho1"/>
    <w:basedOn w:val="Normal"/>
    <w:link w:val="CabealhoCarcter"/>
    <w:pPr>
      <w:tabs>
        <w:tab w:val="center" w:pos="4252"/>
        <w:tab w:val="right" w:pos="8504"/>
      </w:tabs>
      <w:spacing w:line="340" w:lineRule="exact"/>
      <w:jc w:val="both"/>
    </w:pPr>
    <w:rPr>
      <w:rFonts w:ascii="Garamond" w:hAnsi="Garamond"/>
      <w:sz w:val="22"/>
      <w:lang/>
    </w:rPr>
  </w:style>
  <w:style w:type="character" w:customStyle="1" w:styleId="CabealhoCarcter">
    <w:name w:val="Cabeçalho Carácter"/>
    <w:link w:val="Cabealho1"/>
    <w:rPr>
      <w:rFonts w:ascii="Garamond" w:hAnsi="Garamond"/>
      <w:sz w:val="22"/>
    </w:rPr>
  </w:style>
  <w:style w:type="character" w:customStyle="1" w:styleId="CharChar1">
    <w:name w:val="Char Char1"/>
    <w:locked/>
    <w:rPr>
      <w:rFonts w:ascii="Garamond" w:hAnsi="Garamond"/>
      <w:sz w:val="22"/>
    </w:rPr>
  </w:style>
  <w:style w:type="character" w:customStyle="1" w:styleId="Ttulo1Carcter">
    <w:name w:val="Título 1 Carácter"/>
    <w:basedOn w:val="Tipodeletrapredefinidodopargrafo1"/>
    <w:link w:val="Ttulo11"/>
    <w:rPr>
      <w:rFonts w:ascii="Tw Cen MT" w:hAnsi="Tw Cen MT"/>
      <w:b/>
      <w:sz w:val="44"/>
    </w:rPr>
  </w:style>
  <w:style w:type="character" w:customStyle="1" w:styleId="Hiperligao1">
    <w:name w:val="Hiperligação1"/>
    <w:basedOn w:val="Tipodeletrapredefinidodopargrafo1"/>
    <w:uiPriority w:val="99"/>
    <w:rPr>
      <w:color w:val="0000FF"/>
      <w:u w:val="single"/>
    </w:rPr>
  </w:style>
  <w:style w:type="character" w:customStyle="1" w:styleId="Refdenotaderodap1">
    <w:name w:val="Ref. de nota de rodapé1"/>
    <w:basedOn w:val="Tipodeletrapredefinidodopargrafo1"/>
    <w:uiPriority w:val="99"/>
    <w:rPr>
      <w:vertAlign w:val="superscript"/>
    </w:rPr>
  </w:style>
  <w:style w:type="character" w:customStyle="1" w:styleId="Refdenotadefim1">
    <w:name w:val="Ref. de nota de fim1"/>
    <w:basedOn w:val="Tipodeletrapredefinidodopargrafo1"/>
    <w:uiPriority w:val="99"/>
    <w:rPr>
      <w:vertAlign w:val="superscript"/>
    </w:rPr>
  </w:style>
  <w:style w:type="character" w:customStyle="1" w:styleId="Hiperligao2">
    <w:name w:val="Hiperligação2"/>
    <w:basedOn w:val="Tipodeletrapredefinidodopargrafo"/>
    <w:uiPriority w:val="99"/>
    <w:rPr>
      <w:color w:val="0000FF"/>
      <w:u w:val="single"/>
    </w:rPr>
  </w:style>
  <w:style w:type="character" w:customStyle="1" w:styleId="Refdenotaderodap2">
    <w:name w:val="Ref. de nota de rodapé2"/>
    <w:basedOn w:val="Tipodeletrapredefinidodopargrafo"/>
    <w:uiPriority w:val="99"/>
    <w:rPr>
      <w:vertAlign w:val="superscript"/>
    </w:rPr>
  </w:style>
  <w:style w:type="character" w:customStyle="1" w:styleId="Refdenotadefim2">
    <w:name w:val="Ref. de nota de fim2"/>
    <w:basedOn w:val="Tipodeletrapredefinidodopargrafo"/>
    <w:uiPriority w:val="99"/>
    <w:rPr>
      <w:vertAlign w:val="superscript"/>
    </w:rPr>
  </w:style>
  <w:style w:type="character" w:styleId="Hiperligao">
    <w:name w:val="Hyperlink"/>
    <w:basedOn w:val="Tipodeletrapredefinidodopargrafo"/>
    <w:uiPriority w:val="99"/>
    <w:rPr>
      <w:color w:val="0000FF"/>
      <w:u w:val="single"/>
    </w:rPr>
  </w:style>
  <w:style w:type="character" w:styleId="Refdenotaderodap">
    <w:name w:val="footnote reference"/>
    <w:basedOn w:val="Tipodeletrapredefinidodopargrafo"/>
    <w:uiPriority w:val="99"/>
    <w:rPr>
      <w:vertAlign w:val="superscript"/>
    </w:rPr>
  </w:style>
  <w:style w:type="character" w:styleId="Refdenotadefim">
    <w:name w:val="endnote reference"/>
    <w:basedOn w:val="Tipodeletrapredefinidodopargraf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2012-05-13T07:05:00Z</dcterms:created>
  <dcterms:modified xsi:type="dcterms:W3CDTF">2012-05-13T07:05:00Z</dcterms:modified>
</cp:coreProperties>
</file>