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FCB" w:rsidRDefault="00291FCB" w:rsidP="005F0671">
      <w:pPr>
        <w:pStyle w:val="Ttulo11"/>
        <w:spacing w:before="0" w:after="0" w:line="240" w:lineRule="auto"/>
        <w:jc w:val="center"/>
        <w:rPr>
          <w:sz w:val="48"/>
        </w:rPr>
      </w:pPr>
      <w:r>
        <w:rPr>
          <w:sz w:val="48"/>
        </w:rPr>
        <w:t>Teoria Geral do Direito Civil II</w:t>
      </w:r>
    </w:p>
    <w:p w:rsidR="00291FCB" w:rsidRDefault="00291FCB" w:rsidP="005F0671">
      <w:pPr>
        <w:pStyle w:val="Ttulo11"/>
        <w:spacing w:before="0" w:after="0" w:line="240" w:lineRule="auto"/>
        <w:jc w:val="center"/>
        <w:rPr>
          <w:b w:val="0"/>
          <w:sz w:val="28"/>
        </w:rPr>
      </w:pPr>
      <w:r>
        <w:rPr>
          <w:b w:val="0"/>
          <w:sz w:val="28"/>
        </w:rPr>
        <w:t>(Práticas)</w:t>
      </w:r>
    </w:p>
    <w:p w:rsidR="00A32D28" w:rsidRDefault="00A32D28" w:rsidP="005F0671">
      <w:pPr>
        <w:jc w:val="center"/>
        <w:rPr>
          <w:rFonts w:ascii="Tw Cen MT" w:hAnsi="Tw Cen MT"/>
          <w:b/>
          <w:sz w:val="32"/>
          <w:highlight w:val="red"/>
        </w:rPr>
      </w:pPr>
    </w:p>
    <w:p w:rsidR="00291FCB" w:rsidRDefault="00291FCB" w:rsidP="005F0671">
      <w:pPr>
        <w:jc w:val="center"/>
        <w:rPr>
          <w:rFonts w:ascii="Tw Cen MT" w:hAnsi="Tw Cen MT"/>
          <w:b/>
          <w:sz w:val="32"/>
        </w:rPr>
      </w:pPr>
      <w:r w:rsidRPr="00C82DBB">
        <w:rPr>
          <w:rFonts w:ascii="Tw Cen MT" w:hAnsi="Tw Cen MT"/>
          <w:b/>
          <w:sz w:val="32"/>
          <w:highlight w:val="red"/>
        </w:rPr>
        <w:t>3ºs Casos Práticos</w:t>
      </w:r>
    </w:p>
    <w:p w:rsidR="00291FCB" w:rsidRDefault="00291FCB" w:rsidP="005F0671">
      <w:pPr>
        <w:spacing w:line="360" w:lineRule="auto"/>
        <w:jc w:val="center"/>
        <w:rPr>
          <w:b/>
          <w:sz w:val="26"/>
        </w:rPr>
      </w:pPr>
    </w:p>
    <w:p w:rsidR="005F0671" w:rsidRDefault="005F0671" w:rsidP="005F0671">
      <w:pPr>
        <w:spacing w:line="360" w:lineRule="auto"/>
        <w:rPr>
          <w:b/>
          <w:sz w:val="26"/>
        </w:rPr>
      </w:pPr>
    </w:p>
    <w:p w:rsidR="00291FCB" w:rsidRDefault="00291FCB" w:rsidP="005F0671">
      <w:pPr>
        <w:shd w:val="clear" w:color="auto" w:fill="EEECE1"/>
        <w:spacing w:line="360" w:lineRule="auto"/>
        <w:jc w:val="both"/>
        <w:rPr>
          <w:rFonts w:ascii="Tw Cen MT" w:hAnsi="Tw Cen MT"/>
          <w:b/>
          <w:sz w:val="28"/>
          <w:u w:val="single"/>
        </w:rPr>
      </w:pPr>
      <w:r>
        <w:rPr>
          <w:rFonts w:ascii="Tw Cen MT" w:hAnsi="Tw Cen MT"/>
          <w:b/>
          <w:sz w:val="28"/>
          <w:u w:val="single"/>
        </w:rPr>
        <w:t>Hipótese n.º 21</w:t>
      </w:r>
    </w:p>
    <w:p w:rsidR="00291FCB" w:rsidRDefault="00291FCB" w:rsidP="005F0671">
      <w:pPr>
        <w:shd w:val="clear" w:color="auto" w:fill="EEECE1"/>
        <w:spacing w:line="360" w:lineRule="auto"/>
        <w:jc w:val="both"/>
        <w:rPr>
          <w:rFonts w:ascii="Tw Cen MT" w:hAnsi="Tw Cen MT"/>
        </w:rPr>
      </w:pPr>
      <w:r>
        <w:rPr>
          <w:rFonts w:ascii="Tw Cen MT" w:hAnsi="Tw Cen MT"/>
        </w:rPr>
        <w:t>Em 2 de Março de 2008, António envia carta a Bernardo, dizendo: “Finalmente, vendo-te o velho Mercedes pelos 20.000€ de que já havíamos falado.”</w:t>
      </w:r>
    </w:p>
    <w:p w:rsidR="00291FCB" w:rsidRDefault="00291FCB" w:rsidP="005F0671">
      <w:pPr>
        <w:shd w:val="clear" w:color="auto" w:fill="EEECE1"/>
        <w:spacing w:line="360" w:lineRule="auto"/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Recebida a carta a 4 de Março, Bernardo apressa-se a responder por carta nesse dia enviada, onde diz: “Boa notícia. Está feito o negócio.” E nesse mesmo dia, entusiasmado, compra produtos de limpeza para abrilhantar pinturas de carros antigos, gastando 100€. </w:t>
      </w:r>
    </w:p>
    <w:p w:rsidR="00291FCB" w:rsidRDefault="00291FCB" w:rsidP="005F0671">
      <w:pPr>
        <w:shd w:val="clear" w:color="auto" w:fill="EEECE1"/>
        <w:spacing w:line="360" w:lineRule="auto"/>
        <w:jc w:val="both"/>
        <w:rPr>
          <w:rFonts w:ascii="Tw Cen MT" w:hAnsi="Tw Cen MT"/>
        </w:rPr>
      </w:pPr>
      <w:r>
        <w:rPr>
          <w:rFonts w:ascii="Tw Cen MT" w:hAnsi="Tw Cen MT"/>
        </w:rPr>
        <w:t>No dia 4, à noite, António é surpreendido por Carl, americano, coleccionador de automóveis antigos, que lhe oferece 40.000€ pelo Mercedes. Logo ali lhe entrega o carro e recebe o dinheiro.</w:t>
      </w:r>
    </w:p>
    <w:p w:rsidR="00291FCB" w:rsidRDefault="00291FCB" w:rsidP="005F0671">
      <w:pPr>
        <w:shd w:val="clear" w:color="auto" w:fill="EEECE1"/>
        <w:spacing w:line="360" w:lineRule="auto"/>
        <w:jc w:val="both"/>
        <w:rPr>
          <w:rFonts w:ascii="Tw Cen MT" w:hAnsi="Tw Cen MT"/>
          <w:b/>
        </w:rPr>
      </w:pPr>
      <w:r>
        <w:rPr>
          <w:rFonts w:ascii="Tw Cen MT" w:hAnsi="Tw Cen MT"/>
        </w:rPr>
        <w:t xml:space="preserve">Bernardo não se conforma. </w:t>
      </w:r>
      <w:r>
        <w:rPr>
          <w:rFonts w:ascii="Tw Cen MT" w:hAnsi="Tw Cen MT"/>
          <w:i/>
        </w:rPr>
        <w:t>Quid iuris</w:t>
      </w:r>
      <w:r>
        <w:rPr>
          <w:rFonts w:ascii="Tw Cen MT" w:hAnsi="Tw Cen MT"/>
        </w:rPr>
        <w:t xml:space="preserve">? </w:t>
      </w:r>
    </w:p>
    <w:p w:rsidR="00291FCB" w:rsidRDefault="00291FCB" w:rsidP="005F0671">
      <w:pPr>
        <w:shd w:val="clear" w:color="auto" w:fill="EEECE1"/>
        <w:spacing w:line="360" w:lineRule="auto"/>
        <w:jc w:val="both"/>
        <w:rPr>
          <w:rFonts w:ascii="Tw Cen MT" w:hAnsi="Tw Cen MT"/>
        </w:rPr>
      </w:pPr>
      <w:r>
        <w:rPr>
          <w:rFonts w:ascii="Tw Cen MT" w:hAnsi="Tw Cen MT"/>
        </w:rPr>
        <w:t>E se carta de António é recebida a 20 de Março, por ter ocorrido entretanto uma greve dos correios? Bernardo responde no mesmo dia 20, por fax, manifestando a sua concordância. Entretanto, no dia 19 António havia vendido a outrem o carro.</w:t>
      </w:r>
      <w:r>
        <w:rPr>
          <w:rFonts w:ascii="Tw Cen MT" w:hAnsi="Tw Cen MT"/>
          <w:i/>
        </w:rPr>
        <w:t xml:space="preserve"> Quid iuris</w:t>
      </w:r>
      <w:r>
        <w:rPr>
          <w:rFonts w:ascii="Tw Cen MT" w:hAnsi="Tw Cen MT"/>
        </w:rPr>
        <w:t xml:space="preserve">? </w:t>
      </w:r>
    </w:p>
    <w:p w:rsidR="00291FCB" w:rsidRDefault="00291FCB" w:rsidP="005F0671">
      <w:pPr>
        <w:spacing w:line="360" w:lineRule="auto"/>
        <w:jc w:val="both"/>
        <w:rPr>
          <w:rFonts w:ascii="Tw Cen MT" w:hAnsi="Tw Cen MT"/>
        </w:rPr>
      </w:pPr>
    </w:p>
    <w:p w:rsidR="00291FCB" w:rsidRDefault="00291FCB" w:rsidP="005F0671">
      <w:pPr>
        <w:spacing w:line="360" w:lineRule="auto"/>
        <w:jc w:val="both"/>
        <w:rPr>
          <w:rFonts w:ascii="Tw Cen MT" w:hAnsi="Tw Cen MT"/>
          <w:b/>
          <w:u w:val="single"/>
        </w:rPr>
      </w:pPr>
      <w:r>
        <w:rPr>
          <w:rFonts w:ascii="Tw Cen MT" w:hAnsi="Tw Cen MT"/>
          <w:b/>
          <w:u w:val="single"/>
        </w:rPr>
        <w:t>Resolução do caso:</w:t>
      </w:r>
    </w:p>
    <w:p w:rsidR="00291FCB" w:rsidRDefault="00291FCB" w:rsidP="005F0671">
      <w:pPr>
        <w:numPr>
          <w:ilvl w:val="0"/>
          <w:numId w:val="1"/>
        </w:numPr>
        <w:spacing w:line="360" w:lineRule="auto"/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A faz uma declaração negocial a B, há uma manifestação de vontade e respectiva exteriorização; é também uma proposta contratual  uma vez que é completa, firme e formal; </w:t>
      </w:r>
    </w:p>
    <w:p w:rsidR="00291FCB" w:rsidRDefault="00291FCB" w:rsidP="005F0671">
      <w:pPr>
        <w:numPr>
          <w:ilvl w:val="0"/>
          <w:numId w:val="1"/>
        </w:numPr>
        <w:spacing w:line="360" w:lineRule="auto"/>
        <w:jc w:val="both"/>
        <w:rPr>
          <w:rFonts w:ascii="Tw Cen MT" w:hAnsi="Tw Cen MT"/>
        </w:rPr>
      </w:pPr>
      <w:r>
        <w:rPr>
          <w:rFonts w:ascii="Tw Cen MT" w:hAnsi="Tw Cen MT"/>
        </w:rPr>
        <w:t>A proposta começa a produzir efeitos assim que é recebida por B, dia 4, como dispõe o artigo 224.º/1/1ª parte (declaração receptícia);</w:t>
      </w:r>
    </w:p>
    <w:p w:rsidR="00291FCB" w:rsidRDefault="00291FCB" w:rsidP="005F0671">
      <w:pPr>
        <w:numPr>
          <w:ilvl w:val="0"/>
          <w:numId w:val="1"/>
        </w:numPr>
        <w:spacing w:line="360" w:lineRule="auto"/>
        <w:jc w:val="both"/>
        <w:rPr>
          <w:rFonts w:ascii="Tw Cen MT" w:hAnsi="Tw Cen MT"/>
        </w:rPr>
      </w:pPr>
      <w:r>
        <w:rPr>
          <w:rFonts w:ascii="Tw Cen MT" w:hAnsi="Tw Cen MT"/>
          <w:b/>
        </w:rPr>
        <w:t>Durante quando tempo produz a proposta efeitos?</w:t>
      </w:r>
      <w:r>
        <w:rPr>
          <w:rFonts w:ascii="Tw Cen MT" w:hAnsi="Tw Cen MT"/>
        </w:rPr>
        <w:t xml:space="preserve"> Poderá aplicar-se o 228.º/1/b) se for pedida resposta imediata ou o 228.º/1/c) se não for pedida resposta imediata. Para determinar o prazo da alínea c) há que saber em primeiro lugar o da alínea b), ou seja, c) = b) + 5 dias. </w:t>
      </w:r>
      <w:r>
        <w:rPr>
          <w:rFonts w:ascii="Tw Cen MT" w:hAnsi="Tw Cen MT"/>
          <w:u w:val="single"/>
        </w:rPr>
        <w:t>Para o Professor Menezes Cordeiro</w:t>
      </w:r>
      <w:r>
        <w:rPr>
          <w:rFonts w:ascii="Tw Cen MT" w:hAnsi="Tw Cen MT"/>
        </w:rPr>
        <w:t xml:space="preserve"> o prazo da alínea b) é determinado de acordo com o artigo 254.º/3 CPC: quando uma carta é enviada chega no terceiro dia útil após ter sido enviada. No caso concrecto, </w:t>
      </w:r>
      <w:r w:rsidR="00111022" w:rsidRPr="00111022">
        <w:rPr>
          <w:rFonts w:ascii="Tw Cen MT" w:hAnsi="Tw Cen MT"/>
        </w:rPr>
        <w:t xml:space="preserve">é enviada dia 2, chega dia 4, somam-se mais 2 dias para a resposta e os </w:t>
      </w:r>
      <w:r w:rsidR="00111022" w:rsidRPr="00111022">
        <w:rPr>
          <w:rFonts w:ascii="Tw Cen MT" w:hAnsi="Tw Cen MT"/>
        </w:rPr>
        <w:lastRenderedPageBreak/>
        <w:t>5 supletivos, ou seja, o prazo é até dia 11</w:t>
      </w:r>
      <w:r>
        <w:rPr>
          <w:rFonts w:ascii="Tw Cen MT" w:hAnsi="Tw Cen MT"/>
        </w:rPr>
        <w:t xml:space="preserve">. </w:t>
      </w:r>
      <w:r>
        <w:rPr>
          <w:rFonts w:ascii="Tw Cen MT" w:hAnsi="Tw Cen MT"/>
          <w:u w:val="single"/>
        </w:rPr>
        <w:t>Para o Professor Pedro Pais Vasconcelos</w:t>
      </w:r>
      <w:r>
        <w:rPr>
          <w:rFonts w:ascii="Tw Cen MT" w:hAnsi="Tw Cen MT"/>
        </w:rPr>
        <w:t xml:space="preserve"> esta hipótese é muito rígida e esta analogia não funciona em todos os casos. </w:t>
      </w:r>
    </w:p>
    <w:p w:rsidR="00291FCB" w:rsidRDefault="00291FCB" w:rsidP="005F0671">
      <w:pPr>
        <w:numPr>
          <w:ilvl w:val="0"/>
          <w:numId w:val="1"/>
        </w:numPr>
        <w:spacing w:line="360" w:lineRule="auto"/>
        <w:jc w:val="both"/>
        <w:rPr>
          <w:rFonts w:ascii="Tw Cen MT" w:hAnsi="Tw Cen MT"/>
          <w:b/>
          <w:sz w:val="28"/>
          <w:u w:val="single"/>
        </w:rPr>
      </w:pPr>
      <w:r>
        <w:rPr>
          <w:rFonts w:ascii="Tw Cen MT" w:hAnsi="Tw Cen MT"/>
        </w:rPr>
        <w:t xml:space="preserve">No dia 7 quando o contrato que é celebrado é nulo por força do 892.º (já havia sido celebrado um contrato entre A e C). A é quem causa a nulidade do contrato e estando numa situação de sujeição incorre em indemnização a B por inutilizar o  Direito Potestativo deste. Há culpa segundo o 227.º, que para o Professor Menezes Cordeiro tem valor igual à culpa do artigo 798.º. </w:t>
      </w:r>
    </w:p>
    <w:p w:rsidR="00291FCB" w:rsidRDefault="00291FCB" w:rsidP="005F0671">
      <w:pPr>
        <w:numPr>
          <w:ilvl w:val="0"/>
          <w:numId w:val="1"/>
        </w:numPr>
        <w:spacing w:line="360" w:lineRule="auto"/>
        <w:jc w:val="both"/>
        <w:rPr>
          <w:rFonts w:ascii="Tw Cen MT" w:hAnsi="Tw Cen MT"/>
          <w:b/>
          <w:sz w:val="28"/>
          <w:u w:val="single"/>
        </w:rPr>
      </w:pPr>
      <w:r>
        <w:rPr>
          <w:rFonts w:ascii="Tw Cen MT" w:hAnsi="Tw Cen MT"/>
          <w:b/>
        </w:rPr>
        <w:t>Há para o Professor Menezes Cordeiro 3 deveres:</w:t>
      </w:r>
      <w:r>
        <w:rPr>
          <w:rFonts w:ascii="Tw Cen MT" w:hAnsi="Tw Cen MT"/>
        </w:rPr>
        <w:t xml:space="preserve"> lealdade, informação e segurança e confiança. Assim A, ao abrigo do 227.º, deveria indemnizar B pelo investimento de confiança que este faz relativamente ao contrato ao pagar os 100€ dos produtos de limpeza. </w:t>
      </w:r>
    </w:p>
    <w:p w:rsidR="00291FCB" w:rsidRDefault="00291FCB" w:rsidP="005F0671">
      <w:pPr>
        <w:spacing w:line="360" w:lineRule="auto"/>
        <w:ind w:left="360"/>
        <w:jc w:val="both"/>
        <w:rPr>
          <w:rFonts w:ascii="Tw Cen MT" w:hAnsi="Tw Cen MT"/>
          <w:b/>
          <w:sz w:val="28"/>
          <w:u w:val="single"/>
        </w:rPr>
      </w:pPr>
      <w:r>
        <w:rPr>
          <w:rFonts w:ascii="Tw Cen MT" w:hAnsi="Tw Cen MT"/>
          <w:u w:val="single"/>
        </w:rPr>
        <w:t>Nota:</w:t>
      </w:r>
      <w:r>
        <w:rPr>
          <w:rFonts w:ascii="Tw Cen MT" w:hAnsi="Tw Cen MT"/>
        </w:rPr>
        <w:t xml:space="preserve"> sendo uma coisa móvel sujeita a registo segue o disposto do artigo 205.º sendo apenas necessário um consenso das partes.</w:t>
      </w:r>
    </w:p>
    <w:p w:rsidR="00291FCB" w:rsidRDefault="00291FCB" w:rsidP="005F0671">
      <w:pPr>
        <w:numPr>
          <w:ilvl w:val="0"/>
          <w:numId w:val="2"/>
        </w:numPr>
        <w:spacing w:line="360" w:lineRule="auto"/>
        <w:jc w:val="both"/>
        <w:rPr>
          <w:rFonts w:ascii="Tw Cen MT" w:hAnsi="Tw Cen MT"/>
          <w:b/>
          <w:sz w:val="28"/>
          <w:u w:val="single"/>
        </w:rPr>
      </w:pPr>
      <w:r>
        <w:rPr>
          <w:rFonts w:ascii="Tw Cen MT" w:hAnsi="Tw Cen MT"/>
          <w:b/>
        </w:rPr>
        <w:t>(Sub-hipótese)</w:t>
      </w:r>
      <w:r>
        <w:rPr>
          <w:rFonts w:ascii="Tw Cen MT" w:hAnsi="Tw Cen MT"/>
        </w:rPr>
        <w:t xml:space="preserve"> Até dia 20 não está o proponente numa situação de sujeição. A proposta produzirá efeitos no dia 20 por força do 224.º/1/1º parte. Contudo, o destinatário nunca tem nesta situação um Direito Potestativo uma vez que a proposta caduca a partir de dia 13 (limite da sua duração).</w:t>
      </w:r>
    </w:p>
    <w:p w:rsidR="00291FCB" w:rsidRDefault="00291FCB" w:rsidP="005F0671">
      <w:pPr>
        <w:spacing w:line="360" w:lineRule="auto"/>
        <w:jc w:val="both"/>
        <w:rPr>
          <w:rFonts w:ascii="Tw Cen MT" w:hAnsi="Tw Cen MT"/>
          <w:b/>
          <w:sz w:val="28"/>
          <w:u w:val="single"/>
        </w:rPr>
      </w:pPr>
    </w:p>
    <w:p w:rsidR="00291FCB" w:rsidRDefault="00291FCB" w:rsidP="005F0671">
      <w:pPr>
        <w:spacing w:line="360" w:lineRule="auto"/>
        <w:jc w:val="both"/>
        <w:rPr>
          <w:rFonts w:ascii="Tw Cen MT" w:hAnsi="Tw Cen MT"/>
          <w:b/>
          <w:sz w:val="28"/>
          <w:u w:val="single"/>
        </w:rPr>
      </w:pPr>
      <w:r>
        <w:rPr>
          <w:rFonts w:ascii="Tw Cen MT" w:hAnsi="Tw Cen MT"/>
          <w:b/>
          <w:sz w:val="28"/>
          <w:u w:val="single"/>
        </w:rPr>
        <w:t>Hipótese n.º 22</w:t>
      </w:r>
    </w:p>
    <w:p w:rsidR="00291FCB" w:rsidRDefault="00291FCB" w:rsidP="005F0671">
      <w:pPr>
        <w:pStyle w:val="Cabealho1"/>
        <w:shd w:val="clear" w:color="auto" w:fill="EEECE1"/>
        <w:tabs>
          <w:tab w:val="left" w:pos="708"/>
        </w:tabs>
        <w:spacing w:line="360" w:lineRule="auto"/>
        <w:rPr>
          <w:rFonts w:ascii="Tw Cen MT" w:hAnsi="Tw Cen MT"/>
          <w:sz w:val="24"/>
        </w:rPr>
      </w:pPr>
      <w:r>
        <w:rPr>
          <w:rFonts w:ascii="Tw Cen MT" w:hAnsi="Tw Cen MT"/>
          <w:sz w:val="24"/>
        </w:rPr>
        <w:t xml:space="preserve">Abel pretende contratar uma empregada doméstica para a sua casa. Anuncia num jornal esse propósito, publicitando a sua morada, e pedindo que lhe sejam enviadas candidaturas, acompanhadas de cartas de referências e de condições de trabalho pretendidas. Berta e Carta enviam, ambas de Lisboa, a Abel, por correio, os elementos pretendidos com indicação das condições que cada uma está disposta a aceitar e o dia a partir do qual se encontram disponíveis. A carta de Berta, que é enviada a 02/09/2008 e recebida por Abel quatro dias depois, inclui, entre outras, a seguinte menção: «Se, no prazo de 5 dias após a recepção desta carta, nada responder, apresentar-me-ei ao serviço no dia 4 de Dezembro». Abel nada faz. </w:t>
      </w:r>
    </w:p>
    <w:p w:rsidR="00291FCB" w:rsidRDefault="00291FCB" w:rsidP="005F0671">
      <w:pPr>
        <w:pStyle w:val="Cabealho1"/>
        <w:shd w:val="clear" w:color="auto" w:fill="EEECE1"/>
        <w:tabs>
          <w:tab w:val="left" w:pos="708"/>
        </w:tabs>
        <w:spacing w:line="360" w:lineRule="auto"/>
        <w:rPr>
          <w:rFonts w:ascii="Tw Cen MT" w:hAnsi="Tw Cen MT"/>
          <w:sz w:val="24"/>
        </w:rPr>
      </w:pPr>
      <w:r>
        <w:rPr>
          <w:rFonts w:ascii="Tw Cen MT" w:hAnsi="Tw Cen MT"/>
          <w:sz w:val="24"/>
        </w:rPr>
        <w:t xml:space="preserve">A proposta de Carla foi, por seu turno, também enviada em 02/09/2008, mas recebida no dia 03/09. No dia 11/09, de manhã, Carla recebe, no seu atendedor automático de chamadas uma declaração de Abel, aceitando a proposta. Posteriormente, como Abel mudou de ideias quanto à data em que pretendia que Carla iniciasse o trabalho, telefonou-lhe e, ao telefone, combinaram que Carla iniciaria funções não a 7 de Dezembro, conforme constava da carta de Carla, mas a 14 de Dezembro. </w:t>
      </w:r>
    </w:p>
    <w:p w:rsidR="00291FCB" w:rsidRDefault="00291FCB" w:rsidP="005F0671">
      <w:pPr>
        <w:pStyle w:val="Cabealho1"/>
        <w:shd w:val="clear" w:color="auto" w:fill="EEECE1"/>
        <w:tabs>
          <w:tab w:val="left" w:pos="708"/>
        </w:tabs>
        <w:spacing w:line="360" w:lineRule="auto"/>
        <w:rPr>
          <w:rFonts w:ascii="Tw Cen MT" w:hAnsi="Tw Cen MT"/>
          <w:sz w:val="24"/>
        </w:rPr>
      </w:pPr>
    </w:p>
    <w:p w:rsidR="00291FCB" w:rsidRDefault="00291FCB" w:rsidP="005F0671">
      <w:pPr>
        <w:pStyle w:val="Cabealho1"/>
        <w:shd w:val="clear" w:color="auto" w:fill="EEECE1"/>
        <w:tabs>
          <w:tab w:val="left" w:pos="708"/>
        </w:tabs>
        <w:spacing w:line="360" w:lineRule="auto"/>
        <w:rPr>
          <w:rFonts w:ascii="Tw Cen MT" w:hAnsi="Tw Cen MT"/>
          <w:sz w:val="24"/>
        </w:rPr>
      </w:pPr>
      <w:r>
        <w:rPr>
          <w:rFonts w:ascii="Tw Cen MT" w:hAnsi="Tw Cen MT"/>
          <w:sz w:val="24"/>
        </w:rPr>
        <w:t>a) Foi concluído algum contrato entre a Abel e Berta? Justifique.</w:t>
      </w:r>
    </w:p>
    <w:p w:rsidR="00291FCB" w:rsidRDefault="00291FCB" w:rsidP="005F0671">
      <w:pPr>
        <w:pStyle w:val="Cabealho1"/>
        <w:shd w:val="clear" w:color="auto" w:fill="EEECE1"/>
        <w:tabs>
          <w:tab w:val="left" w:pos="708"/>
        </w:tabs>
        <w:spacing w:line="360" w:lineRule="auto"/>
        <w:rPr>
          <w:rFonts w:ascii="Tw Cen MT" w:hAnsi="Tw Cen MT"/>
          <w:sz w:val="24"/>
        </w:rPr>
      </w:pPr>
    </w:p>
    <w:p w:rsidR="00291FCB" w:rsidRDefault="00291FCB" w:rsidP="005F0671">
      <w:pPr>
        <w:pStyle w:val="Cabealho1"/>
        <w:shd w:val="clear" w:color="auto" w:fill="EEECE1"/>
        <w:tabs>
          <w:tab w:val="left" w:pos="708"/>
        </w:tabs>
        <w:spacing w:line="360" w:lineRule="auto"/>
        <w:rPr>
          <w:rFonts w:ascii="Tw Cen MT" w:hAnsi="Tw Cen MT"/>
          <w:sz w:val="24"/>
        </w:rPr>
      </w:pPr>
      <w:r>
        <w:rPr>
          <w:rFonts w:ascii="Tw Cen MT" w:hAnsi="Tw Cen MT"/>
          <w:sz w:val="24"/>
        </w:rPr>
        <w:t>b) Em 11/09 foi concluído algum contrato entre a Abel e Carla? Justifique.</w:t>
      </w:r>
    </w:p>
    <w:p w:rsidR="00291FCB" w:rsidRDefault="00291FCB" w:rsidP="005F0671">
      <w:pPr>
        <w:pStyle w:val="Cabealho1"/>
        <w:shd w:val="clear" w:color="auto" w:fill="EEECE1"/>
        <w:tabs>
          <w:tab w:val="left" w:pos="708"/>
        </w:tabs>
        <w:spacing w:line="360" w:lineRule="auto"/>
        <w:rPr>
          <w:rFonts w:ascii="Tw Cen MT" w:hAnsi="Tw Cen MT"/>
          <w:sz w:val="24"/>
        </w:rPr>
      </w:pPr>
    </w:p>
    <w:p w:rsidR="00291FCB" w:rsidRDefault="00291FCB" w:rsidP="005F0671">
      <w:pPr>
        <w:pStyle w:val="Cabealho1"/>
        <w:shd w:val="clear" w:color="auto" w:fill="EEECE1"/>
        <w:tabs>
          <w:tab w:val="left" w:pos="708"/>
        </w:tabs>
        <w:spacing w:line="360" w:lineRule="auto"/>
        <w:rPr>
          <w:rFonts w:ascii="Tw Cen MT" w:hAnsi="Tw Cen MT"/>
          <w:sz w:val="24"/>
        </w:rPr>
      </w:pPr>
      <w:r>
        <w:rPr>
          <w:rFonts w:ascii="Tw Cen MT" w:hAnsi="Tw Cen MT"/>
          <w:sz w:val="24"/>
        </w:rPr>
        <w:t>c) Admita, agora, que Abel, arrependido de ter aceitado a proposta de Carla, deixa no mesmo dia 11, à noite, no atendedor de chamadas de Carla, mensagem em que diz que afinal já não pretende contratá-la. Carla, que só ouve as 2 mensagens no dia 12 de Setembro, pretende agora saber se o contrato está ou não celebrado.</w:t>
      </w:r>
    </w:p>
    <w:p w:rsidR="00291FCB" w:rsidRDefault="00291FCB" w:rsidP="005F0671">
      <w:pPr>
        <w:spacing w:line="360" w:lineRule="auto"/>
        <w:jc w:val="both"/>
        <w:rPr>
          <w:rFonts w:ascii="Tw Cen MT" w:hAnsi="Tw Cen MT"/>
          <w:b/>
        </w:rPr>
      </w:pPr>
    </w:p>
    <w:p w:rsidR="00291FCB" w:rsidRDefault="00291FCB" w:rsidP="005F0671">
      <w:pPr>
        <w:spacing w:line="360" w:lineRule="auto"/>
        <w:jc w:val="both"/>
        <w:rPr>
          <w:rFonts w:ascii="Tw Cen MT" w:hAnsi="Tw Cen MT"/>
          <w:b/>
          <w:color w:val="FF0000"/>
        </w:rPr>
      </w:pPr>
      <w:r>
        <w:rPr>
          <w:rFonts w:ascii="Tw Cen MT" w:hAnsi="Tw Cen MT"/>
          <w:b/>
          <w:u w:val="single"/>
        </w:rPr>
        <w:t xml:space="preserve">Resolução do caso: </w:t>
      </w:r>
    </w:p>
    <w:p w:rsidR="00291FCB" w:rsidRDefault="00291FCB" w:rsidP="005F0671">
      <w:pPr>
        <w:spacing w:line="360" w:lineRule="auto"/>
        <w:jc w:val="both"/>
        <w:rPr>
          <w:rFonts w:ascii="Tw Cen MT" w:hAnsi="Tw Cen MT"/>
          <w:b/>
          <w:color w:val="000000"/>
        </w:rPr>
      </w:pPr>
      <w:r>
        <w:rPr>
          <w:rFonts w:ascii="Tw Cen MT" w:hAnsi="Tw Cen MT"/>
          <w:b/>
          <w:color w:val="000000"/>
        </w:rPr>
        <w:t>a) Não foi celebrado um contrato entre A e B</w:t>
      </w:r>
    </w:p>
    <w:p w:rsidR="00291FCB" w:rsidRDefault="00291FCB" w:rsidP="005F0671">
      <w:pPr>
        <w:numPr>
          <w:ilvl w:val="0"/>
          <w:numId w:val="4"/>
        </w:numPr>
        <w:spacing w:line="360" w:lineRule="auto"/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O anúncio de A é uma declaração negocial, no caso concrecto um convite a contratar uma vez que não se reveste das características necessárias para ser considerado uma proposta </w:t>
      </w:r>
      <w:r>
        <w:rPr>
          <w:rFonts w:ascii="Tw Cen MT" w:hAnsi="Tw Cen MT"/>
          <w:b/>
          <w:color w:val="FF0000"/>
        </w:rPr>
        <w:t xml:space="preserve">ver aula </w:t>
      </w:r>
      <w:r w:rsidR="00BE1A6A">
        <w:rPr>
          <w:rFonts w:ascii="Tw Cen MT" w:hAnsi="Tw Cen MT"/>
          <w:b/>
          <w:color w:val="FF0000"/>
        </w:rPr>
        <w:t>8</w:t>
      </w:r>
      <w:r>
        <w:rPr>
          <w:rFonts w:ascii="Tw Cen MT" w:hAnsi="Tw Cen MT"/>
          <w:b/>
          <w:color w:val="FF0000"/>
        </w:rPr>
        <w:t xml:space="preserve">, </w:t>
      </w:r>
      <w:r w:rsidRPr="00BE1A6A">
        <w:rPr>
          <w:rFonts w:ascii="Tw Cen MT" w:hAnsi="Tw Cen MT"/>
          <w:b/>
          <w:i/>
          <w:color w:val="FF0000"/>
        </w:rPr>
        <w:t>TGDCII (Teóricas)</w:t>
      </w:r>
    </w:p>
    <w:p w:rsidR="00291FCB" w:rsidRDefault="00291FCB" w:rsidP="005F0671">
      <w:pPr>
        <w:numPr>
          <w:ilvl w:val="0"/>
          <w:numId w:val="4"/>
        </w:numPr>
        <w:spacing w:line="360" w:lineRule="auto"/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A carta de Berta é uma proposta negocial - cria-se um Direito Potestativo no destinatário e uma sujeição no proponente. A carta é enviada dia 2 e recebida dia 6, artigo 224.º/1/1ªparte , produzindo efeitos até ao dia 11, artigo 228.º/1/a). </w:t>
      </w:r>
    </w:p>
    <w:p w:rsidR="00291FCB" w:rsidRDefault="00291FCB" w:rsidP="005F0671">
      <w:pPr>
        <w:numPr>
          <w:ilvl w:val="0"/>
          <w:numId w:val="4"/>
        </w:numPr>
        <w:spacing w:line="360" w:lineRule="auto"/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A aceitação tem que ser pura e simples, não pode conter aditamentos nem modificações, tem que se referir aos termos da proposta; a aceitação tem que ser formal se tal for exigido; a aceitação tem que ser tempestiva. </w:t>
      </w:r>
      <w:r>
        <w:rPr>
          <w:rFonts w:ascii="Tw Cen MT" w:hAnsi="Tw Cen MT"/>
          <w:b/>
        </w:rPr>
        <w:t>Resumindo: pura e simples, formal e tempestiva.</w:t>
      </w:r>
      <w:r>
        <w:rPr>
          <w:rFonts w:ascii="Tw Cen MT" w:hAnsi="Tw Cen MT"/>
        </w:rPr>
        <w:t xml:space="preserve"> Se for intempestiva o proponente deve avisar a outra parte da não conclusão do contrato, artigo 229.º/1, podendo se quiser considerar a aceitação eficaz, artigo 229.º/2. Não tendo, no caso concrecto, o silêncio valor negocial não existe aceitação.</w:t>
      </w:r>
    </w:p>
    <w:p w:rsidR="00291FCB" w:rsidRDefault="00291FCB" w:rsidP="005F0671">
      <w:pPr>
        <w:spacing w:line="360" w:lineRule="auto"/>
        <w:jc w:val="both"/>
        <w:rPr>
          <w:rFonts w:ascii="Tw Cen MT" w:hAnsi="Tw Cen MT"/>
          <w:b/>
        </w:rPr>
      </w:pPr>
      <w:r>
        <w:rPr>
          <w:rFonts w:ascii="Tw Cen MT" w:hAnsi="Tw Cen MT"/>
          <w:b/>
        </w:rPr>
        <w:t>b) Foi celebrado um contrato entre A e C</w:t>
      </w:r>
    </w:p>
    <w:p w:rsidR="00291FCB" w:rsidRDefault="00291FCB" w:rsidP="005F0671">
      <w:pPr>
        <w:numPr>
          <w:ilvl w:val="0"/>
          <w:numId w:val="5"/>
        </w:numPr>
        <w:spacing w:line="360" w:lineRule="auto"/>
        <w:jc w:val="both"/>
        <w:rPr>
          <w:rFonts w:ascii="Tw Cen MT" w:hAnsi="Tw Cen MT"/>
        </w:rPr>
      </w:pPr>
      <w:r>
        <w:rPr>
          <w:rFonts w:ascii="Tw Cen MT" w:hAnsi="Tw Cen MT"/>
        </w:rPr>
        <w:t>A declaração de C é uma proposta contratual.</w:t>
      </w:r>
    </w:p>
    <w:p w:rsidR="00291FCB" w:rsidRDefault="00291FCB" w:rsidP="005F0671">
      <w:pPr>
        <w:numPr>
          <w:ilvl w:val="0"/>
          <w:numId w:val="5"/>
        </w:numPr>
        <w:spacing w:line="360" w:lineRule="auto"/>
        <w:jc w:val="both"/>
        <w:rPr>
          <w:rFonts w:ascii="Tw Cen MT" w:hAnsi="Tw Cen MT"/>
          <w:color w:val="000000"/>
        </w:rPr>
      </w:pPr>
      <w:r>
        <w:rPr>
          <w:rFonts w:ascii="Tw Cen MT" w:hAnsi="Tw Cen MT"/>
          <w:color w:val="000000"/>
        </w:rPr>
        <w:t xml:space="preserve">A </w:t>
      </w:r>
      <w:r w:rsidR="00111022">
        <w:rPr>
          <w:rFonts w:ascii="Tw Cen MT" w:hAnsi="Tw Cen MT"/>
          <w:color w:val="000000"/>
        </w:rPr>
        <w:t>proposta</w:t>
      </w:r>
      <w:r>
        <w:rPr>
          <w:rFonts w:ascii="Tw Cen MT" w:hAnsi="Tw Cen MT"/>
          <w:color w:val="000000"/>
        </w:rPr>
        <w:t xml:space="preserve"> é expedida no dia 2, recebida no dia 3, momento em que inicia a produção de efeitos, 224.º/1/1ªparte - declaração </w:t>
      </w:r>
      <w:r w:rsidR="00111022">
        <w:rPr>
          <w:rFonts w:ascii="Tw Cen MT" w:hAnsi="Tw Cen MT"/>
          <w:color w:val="000000"/>
        </w:rPr>
        <w:t>receptícia</w:t>
      </w:r>
      <w:r>
        <w:rPr>
          <w:rFonts w:ascii="Tw Cen MT" w:hAnsi="Tw Cen MT"/>
          <w:color w:val="000000"/>
        </w:rPr>
        <w:t xml:space="preserve">. A proposta produz efeitos até dia 13 de acordo com o disposto no artigo 228.º/1/c) - defende o Professor Menezes que proposta e aceitação quando são expedidas demoram 3 dias a chegar ao seu </w:t>
      </w:r>
      <w:r w:rsidR="00111022">
        <w:rPr>
          <w:rFonts w:ascii="Tw Cen MT" w:hAnsi="Tw Cen MT"/>
          <w:color w:val="000000"/>
        </w:rPr>
        <w:t>destinatário</w:t>
      </w:r>
      <w:r>
        <w:rPr>
          <w:rFonts w:ascii="Tw Cen MT" w:hAnsi="Tw Cen MT"/>
          <w:color w:val="000000"/>
        </w:rPr>
        <w:t>, artigo 254.º/3 CPC.</w:t>
      </w:r>
    </w:p>
    <w:p w:rsidR="00291FCB" w:rsidRDefault="00291FCB" w:rsidP="005F0671">
      <w:pPr>
        <w:numPr>
          <w:ilvl w:val="0"/>
          <w:numId w:val="5"/>
        </w:numPr>
        <w:spacing w:line="360" w:lineRule="auto"/>
        <w:jc w:val="both"/>
        <w:rPr>
          <w:rFonts w:ascii="Tw Cen MT" w:hAnsi="Tw Cen MT"/>
          <w:color w:val="000000"/>
        </w:rPr>
      </w:pPr>
      <w:r>
        <w:rPr>
          <w:rFonts w:ascii="Tw Cen MT" w:hAnsi="Tw Cen MT"/>
          <w:color w:val="000000"/>
        </w:rPr>
        <w:t xml:space="preserve">A aceitação produz efeitos no dia 11, e tempestiva e é celebrado o contrato. </w:t>
      </w:r>
    </w:p>
    <w:p w:rsidR="00291FCB" w:rsidRDefault="00291FCB" w:rsidP="005F0671">
      <w:pPr>
        <w:numPr>
          <w:ilvl w:val="0"/>
          <w:numId w:val="5"/>
        </w:numPr>
        <w:spacing w:line="360" w:lineRule="auto"/>
        <w:jc w:val="both"/>
        <w:rPr>
          <w:rFonts w:ascii="Tw Cen MT" w:hAnsi="Tw Cen MT"/>
          <w:color w:val="000000"/>
        </w:rPr>
      </w:pPr>
      <w:r>
        <w:rPr>
          <w:rFonts w:ascii="Tw Cen MT" w:hAnsi="Tw Cen MT"/>
          <w:color w:val="000000"/>
        </w:rPr>
        <w:t>A não pode modificar unilateralmente o contrato, deve respeitar o disposto no artigo 406.º.</w:t>
      </w:r>
    </w:p>
    <w:p w:rsidR="00291FCB" w:rsidRDefault="00291FCB" w:rsidP="005F0671">
      <w:pPr>
        <w:spacing w:line="360" w:lineRule="auto"/>
        <w:jc w:val="both"/>
        <w:rPr>
          <w:rFonts w:ascii="Tw Cen MT" w:hAnsi="Tw Cen MT"/>
          <w:b/>
          <w:color w:val="000000"/>
        </w:rPr>
      </w:pPr>
      <w:r>
        <w:rPr>
          <w:rFonts w:ascii="Tw Cen MT" w:hAnsi="Tw Cen MT"/>
          <w:b/>
          <w:color w:val="000000"/>
        </w:rPr>
        <w:lastRenderedPageBreak/>
        <w:t>c) Não há revogação</w:t>
      </w:r>
    </w:p>
    <w:p w:rsidR="00291FCB" w:rsidRDefault="00291FCB" w:rsidP="005F0671">
      <w:pPr>
        <w:numPr>
          <w:ilvl w:val="0"/>
          <w:numId w:val="6"/>
        </w:numPr>
        <w:spacing w:line="360" w:lineRule="auto"/>
        <w:jc w:val="both"/>
        <w:rPr>
          <w:rFonts w:ascii="Tw Cen MT" w:hAnsi="Tw Cen MT"/>
          <w:color w:val="000000"/>
        </w:rPr>
      </w:pPr>
      <w:r>
        <w:rPr>
          <w:rFonts w:ascii="Tw Cen MT" w:hAnsi="Tw Cen MT"/>
          <w:color w:val="000000"/>
        </w:rPr>
        <w:t xml:space="preserve">A revogação pode acontecer antes da declaração produzir os efeitos ou ao mesmo tempo, artigo 235.º/2. </w:t>
      </w:r>
    </w:p>
    <w:p w:rsidR="00291FCB" w:rsidRDefault="00291FCB" w:rsidP="005F0671">
      <w:pPr>
        <w:numPr>
          <w:ilvl w:val="0"/>
          <w:numId w:val="6"/>
        </w:numPr>
        <w:spacing w:line="360" w:lineRule="auto"/>
        <w:jc w:val="both"/>
        <w:rPr>
          <w:rFonts w:ascii="Tw Cen MT" w:hAnsi="Tw Cen MT"/>
          <w:color w:val="000000"/>
        </w:rPr>
      </w:pPr>
      <w:r>
        <w:rPr>
          <w:rFonts w:ascii="Tw Cen MT" w:hAnsi="Tw Cen MT"/>
          <w:color w:val="000000"/>
        </w:rPr>
        <w:t>No caso concrecto, quando há noite A revoga já a aceitação produzir efeitos. A estaria, em hipótese, a extinguir o contrato o que não pode fazer de forma unilateral, artigo 406.º.</w:t>
      </w:r>
    </w:p>
    <w:p w:rsidR="00291FCB" w:rsidRDefault="00291FCB" w:rsidP="005F0671">
      <w:pPr>
        <w:pStyle w:val="Cabealho1"/>
        <w:tabs>
          <w:tab w:val="left" w:pos="708"/>
        </w:tabs>
        <w:spacing w:line="360" w:lineRule="auto"/>
        <w:rPr>
          <w:rFonts w:ascii="Tw Cen MT" w:hAnsi="Tw Cen MT"/>
          <w:sz w:val="24"/>
        </w:rPr>
      </w:pPr>
    </w:p>
    <w:p w:rsidR="00291FCB" w:rsidRDefault="00291FCB" w:rsidP="005F0671">
      <w:pPr>
        <w:spacing w:line="360" w:lineRule="auto"/>
        <w:jc w:val="both"/>
      </w:pPr>
    </w:p>
    <w:sectPr w:rsidR="00291FCB">
      <w:pgSz w:w="11906" w:h="16838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44C" w:rsidRDefault="0024544C">
      <w:r>
        <w:separator/>
      </w:r>
    </w:p>
  </w:endnote>
  <w:endnote w:type="continuationSeparator" w:id="0">
    <w:p w:rsidR="0024544C" w:rsidRDefault="00245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44C" w:rsidRDefault="0024544C">
      <w:r>
        <w:separator/>
      </w:r>
    </w:p>
  </w:footnote>
  <w:footnote w:type="continuationSeparator" w:id="0">
    <w:p w:rsidR="0024544C" w:rsidRDefault="002454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multilevel"/>
    <w:tmpl w:val="0000000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1">
    <w:nsid w:val="00000001"/>
    <w:multiLevelType w:val="multilevel"/>
    <w:tmpl w:val="00000001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0000003"/>
    <w:multiLevelType w:val="multilevel"/>
    <w:tmpl w:val="00000003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4">
    <w:nsid w:val="00000008"/>
    <w:multiLevelType w:val="multilevel"/>
    <w:tmpl w:val="0000000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5">
    <w:nsid w:val="0000000A"/>
    <w:multiLevelType w:val="multilevel"/>
    <w:tmpl w:val="0000000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1022"/>
    <w:rsid w:val="0004399A"/>
    <w:rsid w:val="00111022"/>
    <w:rsid w:val="0024544C"/>
    <w:rsid w:val="00291FCB"/>
    <w:rsid w:val="002E1B69"/>
    <w:rsid w:val="00304FDE"/>
    <w:rsid w:val="005F0671"/>
    <w:rsid w:val="006B23F0"/>
    <w:rsid w:val="00872D79"/>
    <w:rsid w:val="00A32D28"/>
    <w:rsid w:val="00BE1A6A"/>
    <w:rsid w:val="00C82DBB"/>
    <w:rsid w:val="00FF5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customStyle="1" w:styleId="Tipodeletrapredefinidodopargrafo">
    <w:name w:val="Default Paragraph Font"/>
    <w:uiPriority w:val="1"/>
  </w:style>
  <w:style w:type="table" w:default="1" w:customStyle="1" w:styleId="Tabelanormal">
    <w:name w:val="Normal Table"/>
    <w:next w:val="Normal"/>
    <w:uiPriority w:val="99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customStyle="1" w:styleId="Semlista">
    <w:name w:val="No List"/>
    <w:next w:val="Normal"/>
    <w:uiPriority w:val="99"/>
  </w:style>
  <w:style w:type="character" w:customStyle="1" w:styleId="Tipodeletrapredefinidodopargrafo1">
    <w:name w:val="Tipo de letra predefinido do parágrafo1"/>
    <w:semiHidden/>
  </w:style>
  <w:style w:type="table" w:customStyle="1" w:styleId="Tabelanormal1">
    <w:name w:val="Tabela normal1"/>
    <w:next w:val="Normal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">
    <w:name w:val="Sem lista1"/>
    <w:next w:val="Normal"/>
    <w:semiHidden/>
  </w:style>
  <w:style w:type="paragraph" w:customStyle="1" w:styleId="Ttulo11">
    <w:name w:val="Título 11"/>
    <w:basedOn w:val="Normal"/>
    <w:next w:val="Normal"/>
    <w:link w:val="Ttulo1Carcter"/>
    <w:qFormat/>
    <w:pPr>
      <w:spacing w:before="340" w:after="320" w:line="360" w:lineRule="auto"/>
    </w:pPr>
    <w:rPr>
      <w:rFonts w:ascii="Tw Cen MT" w:hAnsi="Tw Cen MT"/>
      <w:b/>
      <w:sz w:val="44"/>
    </w:rPr>
  </w:style>
  <w:style w:type="paragraph" w:customStyle="1" w:styleId="Cabealho1">
    <w:name w:val="Cabeçalho1"/>
    <w:basedOn w:val="Normal"/>
    <w:link w:val="CabealhoCarcter"/>
    <w:pPr>
      <w:tabs>
        <w:tab w:val="center" w:pos="4252"/>
        <w:tab w:val="right" w:pos="8504"/>
      </w:tabs>
      <w:spacing w:line="340" w:lineRule="exact"/>
      <w:jc w:val="both"/>
    </w:pPr>
    <w:rPr>
      <w:rFonts w:ascii="Garamond" w:hAnsi="Garamond"/>
      <w:sz w:val="22"/>
      <w:lang/>
    </w:rPr>
  </w:style>
  <w:style w:type="character" w:customStyle="1" w:styleId="CabealhoCarcter">
    <w:name w:val="Cabeçalho Carácter"/>
    <w:link w:val="Cabealho1"/>
    <w:rPr>
      <w:rFonts w:ascii="Garamond" w:hAnsi="Garamond"/>
      <w:sz w:val="22"/>
    </w:rPr>
  </w:style>
  <w:style w:type="character" w:customStyle="1" w:styleId="CharChar1">
    <w:name w:val="Char Char1"/>
    <w:locked/>
    <w:rPr>
      <w:rFonts w:ascii="Garamond" w:hAnsi="Garamond"/>
      <w:sz w:val="22"/>
    </w:rPr>
  </w:style>
  <w:style w:type="character" w:customStyle="1" w:styleId="Ttulo1Carcter">
    <w:name w:val="Título 1 Carácter"/>
    <w:basedOn w:val="Tipodeletrapredefinidodopargrafo1"/>
    <w:link w:val="Ttulo11"/>
    <w:rPr>
      <w:rFonts w:ascii="Tw Cen MT" w:hAnsi="Tw Cen MT"/>
      <w:b/>
      <w:sz w:val="44"/>
    </w:rPr>
  </w:style>
  <w:style w:type="character" w:customStyle="1" w:styleId="Hiperligao1">
    <w:name w:val="Hiperligação1"/>
    <w:basedOn w:val="Tipodeletrapredefinidodopargrafo1"/>
    <w:uiPriority w:val="99"/>
    <w:rPr>
      <w:color w:val="0000FF"/>
      <w:u w:val="single"/>
    </w:rPr>
  </w:style>
  <w:style w:type="character" w:customStyle="1" w:styleId="Refdenotaderodap1">
    <w:name w:val="Ref. de nota de rodapé1"/>
    <w:basedOn w:val="Tipodeletrapredefinidodopargrafo1"/>
    <w:uiPriority w:val="99"/>
    <w:rPr>
      <w:vertAlign w:val="superscript"/>
    </w:rPr>
  </w:style>
  <w:style w:type="character" w:customStyle="1" w:styleId="Refdenotadefim1">
    <w:name w:val="Ref. de nota de fim1"/>
    <w:basedOn w:val="Tipodeletrapredefinidodopargrafo1"/>
    <w:uiPriority w:val="99"/>
    <w:rPr>
      <w:vertAlign w:val="superscript"/>
    </w:rPr>
  </w:style>
  <w:style w:type="character" w:customStyle="1" w:styleId="Hiperligao2">
    <w:name w:val="Hiperligação2"/>
    <w:basedOn w:val="Tipodeletrapredefinidodopargrafo"/>
    <w:uiPriority w:val="99"/>
    <w:rPr>
      <w:color w:val="0000FF"/>
      <w:u w:val="single"/>
    </w:rPr>
  </w:style>
  <w:style w:type="character" w:customStyle="1" w:styleId="Refdenotaderodap2">
    <w:name w:val="Ref. de nota de rodapé2"/>
    <w:basedOn w:val="Tipodeletrapredefinidodopargrafo"/>
    <w:uiPriority w:val="99"/>
    <w:rPr>
      <w:vertAlign w:val="superscript"/>
    </w:rPr>
  </w:style>
  <w:style w:type="character" w:customStyle="1" w:styleId="Refdenotadefim2">
    <w:name w:val="Ref. de nota de fim2"/>
    <w:basedOn w:val="Tipodeletrapredefinidodopargrafo"/>
    <w:uiPriority w:val="99"/>
    <w:rPr>
      <w:vertAlign w:val="superscript"/>
    </w:rPr>
  </w:style>
  <w:style w:type="character" w:styleId="Hiperligao">
    <w:name w:val="Hyperlink"/>
    <w:basedOn w:val="Tipodeletrapredefinidodopargrafo"/>
    <w:uiPriority w:val="99"/>
    <w:rPr>
      <w:color w:val="0000FF"/>
      <w:u w:val="single"/>
    </w:rPr>
  </w:style>
  <w:style w:type="character" w:styleId="Refdenotaderodap">
    <w:name w:val="footnote reference"/>
    <w:basedOn w:val="Tipodeletrapredefinidodopargrafo"/>
    <w:uiPriority w:val="99"/>
    <w:rPr>
      <w:vertAlign w:val="superscript"/>
    </w:rPr>
  </w:style>
  <w:style w:type="character" w:styleId="Refdenotadefim">
    <w:name w:val="endnote reference"/>
    <w:basedOn w:val="Tipodeletrapredefinidodopargrafo"/>
    <w:uiPriority w:val="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1042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</dc:creator>
  <cp:lastModifiedBy>Tiago</cp:lastModifiedBy>
  <cp:revision>2</cp:revision>
  <dcterms:created xsi:type="dcterms:W3CDTF">2012-05-13T07:04:00Z</dcterms:created>
  <dcterms:modified xsi:type="dcterms:W3CDTF">2012-05-13T07:04:00Z</dcterms:modified>
</cp:coreProperties>
</file>