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5B" w:rsidRDefault="00D8115B" w:rsidP="008E6FC9">
      <w:pPr>
        <w:pStyle w:val="Ttulo11"/>
        <w:spacing w:before="0" w:after="0" w:line="240" w:lineRule="auto"/>
        <w:jc w:val="center"/>
        <w:rPr>
          <w:sz w:val="48"/>
        </w:rPr>
      </w:pPr>
      <w:r>
        <w:rPr>
          <w:sz w:val="48"/>
        </w:rPr>
        <w:t>Teoria Geral do Direito Civil II</w:t>
      </w:r>
    </w:p>
    <w:p w:rsidR="00D8115B" w:rsidRPr="00DA1BCA" w:rsidRDefault="00D8115B" w:rsidP="008E6FC9">
      <w:pPr>
        <w:pStyle w:val="Ttulo11"/>
        <w:spacing w:before="0" w:after="0" w:line="240" w:lineRule="auto"/>
        <w:jc w:val="center"/>
        <w:rPr>
          <w:color w:val="FF0000"/>
          <w:sz w:val="28"/>
        </w:rPr>
      </w:pPr>
      <w:r w:rsidRPr="00DA1BCA">
        <w:rPr>
          <w:color w:val="FF0000"/>
          <w:sz w:val="28"/>
        </w:rPr>
        <w:t>(Práticas)</w:t>
      </w:r>
    </w:p>
    <w:p w:rsidR="002F7308" w:rsidRDefault="002F7308" w:rsidP="008E6FC9">
      <w:pPr>
        <w:jc w:val="center"/>
        <w:rPr>
          <w:rFonts w:ascii="Tw Cen MT" w:hAnsi="Tw Cen MT"/>
          <w:b/>
          <w:sz w:val="32"/>
          <w:highlight w:val="red"/>
        </w:rPr>
      </w:pPr>
    </w:p>
    <w:p w:rsidR="00D8115B" w:rsidRDefault="00D8115B" w:rsidP="008E6FC9">
      <w:pPr>
        <w:jc w:val="center"/>
        <w:rPr>
          <w:rFonts w:ascii="Tw Cen MT" w:hAnsi="Tw Cen MT"/>
          <w:b/>
          <w:sz w:val="32"/>
        </w:rPr>
      </w:pPr>
      <w:r w:rsidRPr="00483C1F">
        <w:rPr>
          <w:rFonts w:ascii="Tw Cen MT" w:hAnsi="Tw Cen MT"/>
          <w:b/>
          <w:sz w:val="32"/>
          <w:highlight w:val="red"/>
        </w:rPr>
        <w:t>2ºs Casos Práticos</w:t>
      </w:r>
    </w:p>
    <w:p w:rsidR="00D8115B" w:rsidRDefault="00D8115B" w:rsidP="008E6FC9">
      <w:pPr>
        <w:spacing w:line="360" w:lineRule="auto"/>
        <w:jc w:val="both"/>
        <w:rPr>
          <w:rFonts w:ascii="Tw Cen MT" w:hAnsi="Tw Cen MT"/>
          <w:b/>
          <w:u w:val="single"/>
        </w:rPr>
      </w:pPr>
    </w:p>
    <w:p w:rsidR="00A604C8" w:rsidRDefault="00A604C8" w:rsidP="008E6FC9">
      <w:pPr>
        <w:spacing w:line="360" w:lineRule="auto"/>
        <w:jc w:val="both"/>
        <w:rPr>
          <w:rFonts w:ascii="Tw Cen MT" w:hAnsi="Tw Cen MT"/>
          <w:b/>
          <w:u w:val="single"/>
        </w:rPr>
      </w:pPr>
    </w:p>
    <w:p w:rsidR="008E6FC9" w:rsidRDefault="008E6FC9" w:rsidP="008E6FC9">
      <w:pPr>
        <w:spacing w:line="360" w:lineRule="auto"/>
        <w:jc w:val="both"/>
        <w:rPr>
          <w:rFonts w:ascii="Tw Cen MT" w:hAnsi="Tw Cen MT"/>
          <w:b/>
          <w:u w:val="single"/>
        </w:rPr>
      </w:pPr>
    </w:p>
    <w:p w:rsidR="00D8115B" w:rsidRDefault="00D8115B" w:rsidP="008E6FC9">
      <w:pPr>
        <w:shd w:val="clear" w:color="auto" w:fill="EEECE1"/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>
        <w:rPr>
          <w:rFonts w:ascii="Tw Cen MT" w:hAnsi="Tw Cen MT"/>
          <w:b/>
          <w:sz w:val="28"/>
          <w:u w:val="single"/>
        </w:rPr>
        <w:t>Hipótese n.º 19</w:t>
      </w:r>
    </w:p>
    <w:p w:rsidR="00D8115B" w:rsidRDefault="00D8115B" w:rsidP="008E6FC9">
      <w:pPr>
        <w:shd w:val="clear" w:color="auto" w:fill="EEECE1"/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António faz publicar um anúncio no jornal com o seguinte texto: “vendo apartamento com 4 assoalhadas, 3 casas de banho e cozinha, na Rua das Cerejas, n.º 4, 2.º andar, em Lisboa, por 250.000 €”. </w:t>
      </w:r>
    </w:p>
    <w:p w:rsidR="00D8115B" w:rsidRDefault="00D8115B" w:rsidP="008E6FC9">
      <w:pPr>
        <w:shd w:val="clear" w:color="auto" w:fill="EEECE1"/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Bento, amigo de António e que conhece a casa, telefona-lhe e diz: “Compro a tua casa pelos 250.000 € que pedes”. “Está feito”, responde António.</w:t>
      </w:r>
    </w:p>
    <w:p w:rsidR="00D8115B" w:rsidRDefault="00D8115B" w:rsidP="008E6FC9">
      <w:pPr>
        <w:shd w:val="clear" w:color="auto" w:fill="EEECE1"/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Diga, fundamentadamente, quem é o proprietário da casa.</w:t>
      </w:r>
    </w:p>
    <w:p w:rsidR="00D8115B" w:rsidRDefault="00D8115B" w:rsidP="008E6FC9">
      <w:pPr>
        <w:spacing w:line="360" w:lineRule="auto"/>
        <w:jc w:val="both"/>
        <w:rPr>
          <w:rFonts w:ascii="Tw Cen MT" w:hAnsi="Tw Cen MT"/>
        </w:rPr>
      </w:pPr>
    </w:p>
    <w:p w:rsidR="00D8115B" w:rsidRDefault="00D8115B" w:rsidP="008E6FC9">
      <w:pPr>
        <w:spacing w:line="360" w:lineRule="auto"/>
        <w:jc w:val="both"/>
        <w:rPr>
          <w:rFonts w:ascii="Tw Cen MT" w:hAnsi="Tw Cen MT"/>
          <w:b/>
          <w:u w:val="single"/>
        </w:rPr>
      </w:pPr>
      <w:r>
        <w:rPr>
          <w:rFonts w:ascii="Tw Cen MT" w:hAnsi="Tw Cen MT"/>
          <w:b/>
          <w:u w:val="single"/>
        </w:rPr>
        <w:t>Resolução do caso:</w:t>
      </w:r>
    </w:p>
    <w:p w:rsidR="00D8115B" w:rsidRDefault="00D8115B" w:rsidP="008E6FC9">
      <w:p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Há declarações de vontade negocial por ambas as partes, que as exteriorizam.  No entanto as declarações tem que se revestir de 3 características:</w:t>
      </w:r>
    </w:p>
    <w:p w:rsidR="00D8115B" w:rsidRDefault="00D8115B" w:rsidP="008E6FC9">
      <w:pPr>
        <w:numPr>
          <w:ilvl w:val="0"/>
          <w:numId w:val="5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  <w:b/>
        </w:rPr>
        <w:t>A declaração negocial tem que ser firme</w:t>
      </w:r>
      <w:r>
        <w:rPr>
          <w:rFonts w:ascii="Tw Cen MT" w:hAnsi="Tw Cen MT"/>
        </w:rPr>
        <w:t xml:space="preserve">, revela uma vontade inequívoca de contratar; </w:t>
      </w:r>
      <w:r>
        <w:rPr>
          <w:rFonts w:ascii="Tw Cen MT" w:hAnsi="Tw Cen MT"/>
          <w:u w:val="single"/>
        </w:rPr>
        <w:t>Verifica-se</w:t>
      </w:r>
    </w:p>
    <w:p w:rsidR="00D8115B" w:rsidRDefault="00D8115B" w:rsidP="008E6FC9">
      <w:pPr>
        <w:numPr>
          <w:ilvl w:val="0"/>
          <w:numId w:val="5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  <w:b/>
        </w:rPr>
        <w:t>A declaração negocial tem que ser completa</w:t>
      </w:r>
      <w:r>
        <w:rPr>
          <w:rFonts w:ascii="Tw Cen MT" w:hAnsi="Tw Cen MT"/>
        </w:rPr>
        <w:t xml:space="preserve">, compreende todos os elementos necessários; </w:t>
      </w:r>
      <w:r>
        <w:rPr>
          <w:rFonts w:ascii="Tw Cen MT" w:hAnsi="Tw Cen MT"/>
          <w:u w:val="single"/>
        </w:rPr>
        <w:t>Verifica-se</w:t>
      </w:r>
    </w:p>
    <w:p w:rsidR="00D8115B" w:rsidRDefault="00D8115B" w:rsidP="008E6FC9">
      <w:pPr>
        <w:numPr>
          <w:ilvl w:val="0"/>
          <w:numId w:val="5"/>
        </w:numPr>
        <w:spacing w:line="360" w:lineRule="auto"/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t>A declaração negocial tem que ser formal</w:t>
      </w:r>
      <w:r>
        <w:rPr>
          <w:rFonts w:ascii="Tw Cen MT" w:hAnsi="Tw Cen MT"/>
        </w:rPr>
        <w:t xml:space="preserve">, reveste-se da forma necessária para a celebração. </w:t>
      </w:r>
      <w:r>
        <w:rPr>
          <w:rFonts w:ascii="Tw Cen MT" w:hAnsi="Tw Cen MT"/>
          <w:u w:val="single"/>
        </w:rPr>
        <w:t>Não se verifica (por ser um bem imóvel era necessário que se verifica-se o disposto no artigo 875.º)</w:t>
      </w:r>
    </w:p>
    <w:p w:rsidR="00D8115B" w:rsidRDefault="00D8115B" w:rsidP="008E6FC9">
      <w:pPr>
        <w:spacing w:line="360" w:lineRule="auto"/>
        <w:jc w:val="both"/>
        <w:rPr>
          <w:rFonts w:ascii="Tw Cen MT" w:hAnsi="Tw Cen MT"/>
          <w:u w:val="single"/>
        </w:rPr>
      </w:pPr>
      <w:r>
        <w:rPr>
          <w:rFonts w:ascii="Tw Cen MT" w:hAnsi="Tw Cen MT"/>
        </w:rPr>
        <w:t xml:space="preserve">Uma declaração que se revista destas características faz surgir, na esfera jurídica do destinatário, um direito potestativo. Quem emite a declaração fica numa situação jurídica de sujeição. </w:t>
      </w:r>
      <w:r>
        <w:rPr>
          <w:rFonts w:ascii="Tw Cen MT" w:hAnsi="Tw Cen MT"/>
          <w:u w:val="single"/>
        </w:rPr>
        <w:t xml:space="preserve">No caso concrecto, não se verificando, temos um </w:t>
      </w:r>
      <w:r>
        <w:rPr>
          <w:rFonts w:ascii="Tw Cen MT" w:hAnsi="Tw Cen MT"/>
          <w:b/>
          <w:u w:val="single"/>
        </w:rPr>
        <w:t>mero convite a contratar</w:t>
      </w:r>
      <w:r>
        <w:rPr>
          <w:rFonts w:ascii="Tw Cen MT" w:hAnsi="Tw Cen MT"/>
          <w:u w:val="single"/>
        </w:rPr>
        <w:t>. Assim, o proprietário da casa continua a ser António.</w:t>
      </w:r>
    </w:p>
    <w:p w:rsidR="00D8115B" w:rsidRDefault="00D8115B" w:rsidP="008E6FC9">
      <w:pPr>
        <w:spacing w:line="360" w:lineRule="auto"/>
        <w:jc w:val="both"/>
        <w:rPr>
          <w:rFonts w:ascii="Tw Cen MT" w:hAnsi="Tw Cen MT"/>
        </w:rPr>
      </w:pPr>
    </w:p>
    <w:p w:rsidR="00D8115B" w:rsidRDefault="00D8115B" w:rsidP="008E6FC9">
      <w:pPr>
        <w:spacing w:line="360" w:lineRule="auto"/>
      </w:pPr>
    </w:p>
    <w:p w:rsidR="00D8115B" w:rsidRDefault="00D8115B" w:rsidP="008E6FC9">
      <w:pPr>
        <w:spacing w:line="360" w:lineRule="auto"/>
      </w:pPr>
    </w:p>
    <w:p w:rsidR="00D8115B" w:rsidRDefault="00D8115B" w:rsidP="008E6FC9">
      <w:pPr>
        <w:spacing w:line="360" w:lineRule="auto"/>
        <w:rPr>
          <w:sz w:val="28"/>
          <w:u w:val="single"/>
        </w:rPr>
      </w:pPr>
    </w:p>
    <w:p w:rsidR="00D8115B" w:rsidRDefault="00D8115B" w:rsidP="008E6FC9">
      <w:pPr>
        <w:spacing w:line="360" w:lineRule="auto"/>
        <w:rPr>
          <w:sz w:val="28"/>
          <w:u w:val="single"/>
        </w:rPr>
      </w:pPr>
    </w:p>
    <w:p w:rsidR="00D8115B" w:rsidRDefault="00D8115B" w:rsidP="008E6FC9">
      <w:pPr>
        <w:spacing w:line="360" w:lineRule="auto"/>
        <w:rPr>
          <w:sz w:val="28"/>
          <w:u w:val="single"/>
        </w:rPr>
      </w:pPr>
    </w:p>
    <w:p w:rsidR="00D8115B" w:rsidRDefault="00D8115B" w:rsidP="008E6FC9">
      <w:pPr>
        <w:shd w:val="clear" w:color="auto" w:fill="EEECE1"/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>
        <w:rPr>
          <w:rFonts w:ascii="Tw Cen MT" w:hAnsi="Tw Cen MT"/>
          <w:b/>
          <w:sz w:val="28"/>
          <w:u w:val="single"/>
        </w:rPr>
        <w:lastRenderedPageBreak/>
        <w:t>Hipótese n.º 20</w:t>
      </w:r>
    </w:p>
    <w:p w:rsidR="00D8115B" w:rsidRDefault="00D8115B" w:rsidP="008E6FC9">
      <w:pPr>
        <w:shd w:val="clear" w:color="auto" w:fill="EEECE1"/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A “SSV - Sociedade de Segurança e Vigilância, S.A.”, depois de vários contactos preparatórios, enviou ao INESC um extenso documento em que se propunha que este Instituto desenvolvesse um complexo e muito específico sistema de software, particularmente adequado à actividade e aos sistemas de segurança que a SSV tinha já instalados, bem como aos mecanismos centralizados de controlo destes sistemas. </w:t>
      </w:r>
    </w:p>
    <w:p w:rsidR="00D8115B" w:rsidRDefault="00D8115B" w:rsidP="008E6FC9">
      <w:pPr>
        <w:shd w:val="clear" w:color="auto" w:fill="EEECE1"/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O projecto deveria estar concluído para instalação até daí a seis meses. O preço seria fixado segundo critérios descritos na proposta, mas estaria sempre limitado pelo valor máximo de dois milhões de euros. A SSV consideraria o contrato celebrado se o INESC não respondesse no prazo de um mês.</w:t>
      </w:r>
    </w:p>
    <w:p w:rsidR="00D8115B" w:rsidRDefault="00D8115B" w:rsidP="008E6FC9">
      <w:pPr>
        <w:shd w:val="clear" w:color="auto" w:fill="EEECE1"/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Passados quinze dias, a SSV veio a tomar conhecimento, por acaso, de que a direcção do INESC tinha encarregado uma vasta equipa com a tarefa de, dentro de prazos rigorosamente determinados, atendendo às exigências feitas na proposta daquela sociedade, desenvolver à risca o software encomendado. O INESC, inclusive, tinha contratado alguns especialistas estrangeiros especificamente com vista àquele projecto.</w:t>
      </w:r>
    </w:p>
    <w:p w:rsidR="00D8115B" w:rsidRDefault="00D8115B" w:rsidP="008E6FC9">
      <w:pPr>
        <w:shd w:val="clear" w:color="auto" w:fill="EEECE1"/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Acontece que o trabalho do INESC só ficou pronto ao fim de mais de seis meses. A SSV clama o direito a uma indemnização pela mora (</w:t>
      </w:r>
      <w:proofErr w:type="spellStart"/>
      <w:r>
        <w:rPr>
          <w:rFonts w:ascii="Tw Cen MT" w:hAnsi="Tw Cen MT"/>
        </w:rPr>
        <w:t>art</w:t>
      </w:r>
      <w:proofErr w:type="spellEnd"/>
      <w:r>
        <w:rPr>
          <w:rFonts w:ascii="Tw Cen MT" w:hAnsi="Tw Cen MT"/>
        </w:rPr>
        <w:t xml:space="preserve">. 804.º, n.º 1). O INESC sustenta que não celebrara contrato algum. </w:t>
      </w:r>
      <w:r>
        <w:rPr>
          <w:rFonts w:ascii="Tw Cen MT" w:hAnsi="Tw Cen MT"/>
          <w:i/>
        </w:rPr>
        <w:t>Quid juris?</w:t>
      </w:r>
    </w:p>
    <w:p w:rsidR="00D8115B" w:rsidRDefault="00D8115B" w:rsidP="008E6FC9">
      <w:pPr>
        <w:spacing w:line="360" w:lineRule="auto"/>
      </w:pPr>
    </w:p>
    <w:p w:rsidR="00D8115B" w:rsidRDefault="00D8115B" w:rsidP="008E6FC9">
      <w:pPr>
        <w:spacing w:line="360" w:lineRule="auto"/>
        <w:jc w:val="both"/>
        <w:rPr>
          <w:rFonts w:ascii="Tw Cen MT" w:hAnsi="Tw Cen MT"/>
          <w:b/>
          <w:u w:val="single"/>
        </w:rPr>
      </w:pPr>
      <w:r>
        <w:rPr>
          <w:rFonts w:ascii="Tw Cen MT" w:hAnsi="Tw Cen MT"/>
          <w:b/>
          <w:u w:val="single"/>
        </w:rPr>
        <w:t>Resolução do caso:</w:t>
      </w:r>
    </w:p>
    <w:p w:rsidR="00D8115B" w:rsidRDefault="00D8115B" w:rsidP="008E6FC9">
      <w:pPr>
        <w:numPr>
          <w:ilvl w:val="0"/>
          <w:numId w:val="6"/>
        </w:numPr>
        <w:spacing w:line="360" w:lineRule="auto"/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t>Verificar a existência de declaração negocial por parte da SSV e analisar as suas características:</w:t>
      </w:r>
    </w:p>
    <w:p w:rsidR="00D8115B" w:rsidRDefault="00D8115B" w:rsidP="008E6FC9">
      <w:pPr>
        <w:numPr>
          <w:ilvl w:val="0"/>
          <w:numId w:val="7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A declaração deve ser uma manifestação da vontade, um acto de comunicação e também um acto de validade/acto finalista que pressupõe um fim </w:t>
      </w:r>
      <w:r w:rsidRPr="00AB7BD7">
        <w:rPr>
          <w:rFonts w:ascii="Tw Cen MT" w:hAnsi="Tw Cen MT"/>
          <w:b/>
          <w:color w:val="FF0000"/>
        </w:rPr>
        <w:t xml:space="preserve">ver aula </w:t>
      </w:r>
      <w:r w:rsidR="009178E2">
        <w:rPr>
          <w:rFonts w:ascii="Tw Cen MT" w:hAnsi="Tw Cen MT"/>
          <w:b/>
          <w:color w:val="FF0000"/>
        </w:rPr>
        <w:t xml:space="preserve">9, </w:t>
      </w:r>
      <w:r w:rsidR="009178E2" w:rsidRPr="009178E2">
        <w:rPr>
          <w:rFonts w:ascii="Tw Cen MT" w:hAnsi="Tw Cen MT"/>
          <w:b/>
          <w:i/>
          <w:color w:val="FF0000"/>
        </w:rPr>
        <w:t>TGDCII (Teóricas)</w:t>
      </w:r>
      <w:r w:rsidR="009178E2">
        <w:rPr>
          <w:rFonts w:ascii="Tw Cen MT" w:hAnsi="Tw Cen MT"/>
        </w:rPr>
        <w:t>;</w:t>
      </w:r>
    </w:p>
    <w:p w:rsidR="00D8115B" w:rsidRDefault="00D8115B" w:rsidP="008E6FC9">
      <w:pPr>
        <w:numPr>
          <w:ilvl w:val="0"/>
          <w:numId w:val="7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Quanto a características, a declaração deve: ser firme, completa e formal</w:t>
      </w:r>
      <w:r w:rsidR="009178E2">
        <w:rPr>
          <w:rFonts w:ascii="Tw Cen MT" w:hAnsi="Tw Cen MT"/>
        </w:rPr>
        <w:t xml:space="preserve"> </w:t>
      </w:r>
      <w:r w:rsidRPr="00AB7BD7">
        <w:rPr>
          <w:rFonts w:ascii="Tw Cen MT" w:hAnsi="Tw Cen MT"/>
          <w:b/>
          <w:color w:val="FF0000"/>
        </w:rPr>
        <w:t>ver hipótese nº 19</w:t>
      </w:r>
      <w:r w:rsidR="009178E2">
        <w:rPr>
          <w:rFonts w:ascii="Tw Cen MT" w:hAnsi="Tw Cen MT"/>
          <w:b/>
          <w:color w:val="FF0000"/>
        </w:rPr>
        <w:t xml:space="preserve">, </w:t>
      </w:r>
      <w:r w:rsidR="009178E2" w:rsidRPr="009178E2">
        <w:rPr>
          <w:rFonts w:ascii="Tw Cen MT" w:hAnsi="Tw Cen MT"/>
          <w:b/>
          <w:i/>
          <w:color w:val="FF0000"/>
        </w:rPr>
        <w:t>TGDCII (2ºs Casos Práticos)</w:t>
      </w:r>
      <w:r w:rsidRPr="00AB7BD7">
        <w:rPr>
          <w:rFonts w:ascii="Tw Cen MT" w:hAnsi="Tw Cen MT"/>
          <w:b/>
          <w:color w:val="FF0000"/>
        </w:rPr>
        <w:t xml:space="preserve"> e </w:t>
      </w:r>
      <w:r w:rsidR="009178E2">
        <w:rPr>
          <w:rFonts w:ascii="Tw Cen MT" w:hAnsi="Tw Cen MT"/>
          <w:b/>
          <w:color w:val="FF0000"/>
        </w:rPr>
        <w:t xml:space="preserve">aula </w:t>
      </w:r>
      <w:r w:rsidR="00AB7BD7" w:rsidRPr="00AB7BD7">
        <w:rPr>
          <w:rFonts w:ascii="Tw Cen MT" w:hAnsi="Tw Cen MT"/>
          <w:b/>
          <w:color w:val="FF0000"/>
        </w:rPr>
        <w:t>8</w:t>
      </w:r>
      <w:r w:rsidR="009178E2">
        <w:rPr>
          <w:rFonts w:ascii="Tw Cen MT" w:hAnsi="Tw Cen MT"/>
          <w:b/>
          <w:color w:val="FF0000"/>
        </w:rPr>
        <w:t xml:space="preserve">, </w:t>
      </w:r>
      <w:r w:rsidR="009178E2" w:rsidRPr="009178E2">
        <w:rPr>
          <w:rFonts w:ascii="Tw Cen MT" w:hAnsi="Tw Cen MT"/>
          <w:b/>
          <w:i/>
          <w:color w:val="FF0000"/>
        </w:rPr>
        <w:t>TGDCII (Teóricas)</w:t>
      </w:r>
      <w:r>
        <w:rPr>
          <w:rFonts w:ascii="Tw Cen MT" w:hAnsi="Tw Cen MT"/>
        </w:rPr>
        <w:t>. Na análise destas características, relativamente à característica da declaração ser completa, há que ter em conta o disposto no artigo 280.º/1 para efeitos de se saber se o preço (elemento</w:t>
      </w:r>
      <w:r w:rsidR="00AB7BD7">
        <w:rPr>
          <w:rFonts w:ascii="Tw Cen MT" w:hAnsi="Tw Cen MT"/>
        </w:rPr>
        <w:t xml:space="preserve"> essencial</w:t>
      </w:r>
      <w:r>
        <w:rPr>
          <w:rFonts w:ascii="Tw Cen MT" w:hAnsi="Tw Cen MT"/>
        </w:rPr>
        <w:t xml:space="preserve"> </w:t>
      </w:r>
      <w:r w:rsidR="00AB7BD7">
        <w:rPr>
          <w:rFonts w:ascii="Tw Cen MT" w:hAnsi="Tw Cen MT"/>
        </w:rPr>
        <w:t>específico/elemento específico</w:t>
      </w:r>
      <w:r>
        <w:rPr>
          <w:rFonts w:ascii="Tw Cen MT" w:hAnsi="Tw Cen MT"/>
        </w:rPr>
        <w:t>) é ou não indeterminável. No caso concrecto não é indeterminável. Indeterminável pressupõe que</w:t>
      </w:r>
      <w:r w:rsidR="002F7308">
        <w:rPr>
          <w:rFonts w:ascii="Tw Cen MT" w:hAnsi="Tw Cen MT"/>
        </w:rPr>
        <w:t xml:space="preserve"> não</w:t>
      </w:r>
      <w:r>
        <w:rPr>
          <w:rFonts w:ascii="Tw Cen MT" w:hAnsi="Tw Cen MT"/>
        </w:rPr>
        <w:t xml:space="preserve"> existam critérios que o permitam determinar, existindo não se pode considerar indeterminável. Relativamente à forma, no caso concrecto é aplicada a regra geral do artigo 219.º, existe liberdade de forma, trata-se de um negócio consensual. </w:t>
      </w:r>
    </w:p>
    <w:p w:rsidR="00D8115B" w:rsidRDefault="00D8115B" w:rsidP="008E6FC9">
      <w:pPr>
        <w:spacing w:line="360" w:lineRule="auto"/>
        <w:jc w:val="both"/>
        <w:rPr>
          <w:rFonts w:ascii="Tw Cen MT" w:hAnsi="Tw Cen MT"/>
          <w:b/>
          <w:u w:val="single"/>
        </w:rPr>
      </w:pPr>
    </w:p>
    <w:p w:rsidR="00D8115B" w:rsidRDefault="00D8115B" w:rsidP="008E6FC9">
      <w:pPr>
        <w:numPr>
          <w:ilvl w:val="0"/>
          <w:numId w:val="6"/>
        </w:numPr>
        <w:spacing w:line="360" w:lineRule="auto"/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lastRenderedPageBreak/>
        <w:t xml:space="preserve">Efeitos da declaração negocial </w:t>
      </w:r>
    </w:p>
    <w:p w:rsidR="00D8115B" w:rsidRDefault="00D8115B" w:rsidP="008E6FC9">
      <w:pPr>
        <w:numPr>
          <w:ilvl w:val="0"/>
          <w:numId w:val="8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A carta que é emitida pela SSV trata-se de uma verdadeira proposta a contratar que coloca o declarante numa </w:t>
      </w:r>
      <w:r w:rsidR="00AB7BD7">
        <w:rPr>
          <w:rFonts w:ascii="Tw Cen MT" w:hAnsi="Tw Cen MT"/>
        </w:rPr>
        <w:t>situação</w:t>
      </w:r>
      <w:r>
        <w:rPr>
          <w:rFonts w:ascii="Tw Cen MT" w:hAnsi="Tw Cen MT"/>
        </w:rPr>
        <w:t xml:space="preserve"> de sujeição e que ao mesmo tempo confere ao destinatário um direito potestativo. Isto, a partir do momento em que a declaração comece a produzir efeitos - neste sentido releva o artigo 224.º/1 e há que fazer a seguinte distinção:</w:t>
      </w:r>
    </w:p>
    <w:p w:rsidR="00AB7BD7" w:rsidRDefault="00D8115B" w:rsidP="008E6FC9">
      <w:pPr>
        <w:numPr>
          <w:ilvl w:val="1"/>
          <w:numId w:val="8"/>
        </w:numPr>
        <w:spacing w:line="360" w:lineRule="auto"/>
        <w:jc w:val="both"/>
        <w:rPr>
          <w:rFonts w:ascii="Tw Cen MT" w:hAnsi="Tw Cen MT"/>
          <w:u w:val="single"/>
        </w:rPr>
      </w:pPr>
      <w:r>
        <w:rPr>
          <w:rFonts w:ascii="Tw Cen MT" w:hAnsi="Tw Cen MT"/>
          <w:u w:val="single"/>
        </w:rPr>
        <w:t xml:space="preserve">Declaração </w:t>
      </w:r>
      <w:r w:rsidR="00AB7BD7">
        <w:rPr>
          <w:rFonts w:ascii="Tw Cen MT" w:hAnsi="Tw Cen MT"/>
          <w:u w:val="single"/>
        </w:rPr>
        <w:t>receptícia</w:t>
      </w:r>
      <w:r>
        <w:rPr>
          <w:rFonts w:ascii="Tw Cen MT" w:hAnsi="Tw Cen MT"/>
          <w:u w:val="single"/>
        </w:rPr>
        <w:t>/recepienta vs. declaração não receptícia/não recepient</w:t>
      </w:r>
      <w:r w:rsidR="00AB7BD7">
        <w:rPr>
          <w:rFonts w:ascii="Tw Cen MT" w:hAnsi="Tw Cen MT"/>
          <w:u w:val="single"/>
        </w:rPr>
        <w:t>a</w:t>
      </w:r>
    </w:p>
    <w:p w:rsidR="00AB7BD7" w:rsidRPr="00AB7BD7" w:rsidRDefault="00D8115B" w:rsidP="008E6FC9">
      <w:pPr>
        <w:spacing w:line="360" w:lineRule="auto"/>
        <w:ind w:left="720"/>
        <w:jc w:val="both"/>
        <w:rPr>
          <w:rFonts w:ascii="Tw Cen MT" w:hAnsi="Tw Cen MT"/>
          <w:u w:val="single"/>
        </w:rPr>
      </w:pPr>
      <w:r w:rsidRPr="00AB7BD7">
        <w:rPr>
          <w:rFonts w:ascii="Tw Cen MT" w:hAnsi="Tw Cen MT"/>
        </w:rPr>
        <w:t>A 1ª corresponde à 1ª parte do artigo 224.º/1 e diz-nos que a declaraç</w:t>
      </w:r>
      <w:r w:rsidR="00AB7BD7" w:rsidRPr="00AB7BD7">
        <w:rPr>
          <w:rFonts w:ascii="Tw Cen MT" w:hAnsi="Tw Cen MT"/>
        </w:rPr>
        <w:t xml:space="preserve">ão </w:t>
      </w:r>
      <w:r w:rsidRPr="00AB7BD7">
        <w:rPr>
          <w:rFonts w:ascii="Tw Cen MT" w:hAnsi="Tw Cen MT"/>
        </w:rPr>
        <w:t xml:space="preserve">começa a produzir efeitos quando </w:t>
      </w:r>
      <w:r w:rsidR="00AB7BD7" w:rsidRPr="00AB7BD7">
        <w:rPr>
          <w:rFonts w:ascii="Tw Cen MT" w:hAnsi="Tw Cen MT"/>
        </w:rPr>
        <w:t xml:space="preserve">é </w:t>
      </w:r>
      <w:r w:rsidRPr="00AB7BD7">
        <w:rPr>
          <w:rFonts w:ascii="Tw Cen MT" w:hAnsi="Tw Cen MT"/>
        </w:rPr>
        <w:t xml:space="preserve">recebida ou, quando o destinatário </w:t>
      </w:r>
      <w:r w:rsidRPr="00AB7BD7">
        <w:rPr>
          <w:rFonts w:ascii="Tw Cen MT" w:hAnsi="Tw Cen MT"/>
          <w:i/>
        </w:rPr>
        <w:t>DETERMINADO</w:t>
      </w:r>
      <w:r w:rsidRPr="00AB7BD7">
        <w:rPr>
          <w:rFonts w:ascii="Tw Cen MT" w:hAnsi="Tw Cen MT"/>
        </w:rPr>
        <w:t xml:space="preserve"> ganha conhecimento da declaração. Mas atenç</w:t>
      </w:r>
      <w:r w:rsidR="00AB7BD7" w:rsidRPr="00AB7BD7">
        <w:rPr>
          <w:rFonts w:ascii="Tw Cen MT" w:hAnsi="Tw Cen MT"/>
        </w:rPr>
        <w:t xml:space="preserve">ão, tem que </w:t>
      </w:r>
      <w:r w:rsidRPr="00AB7BD7">
        <w:rPr>
          <w:rFonts w:ascii="Tw Cen MT" w:hAnsi="Tw Cen MT"/>
        </w:rPr>
        <w:t>ser um conhecimento pormenorizado da declaração não basta saber que irá receber uma declaraç</w:t>
      </w:r>
      <w:r w:rsidR="00AB7BD7" w:rsidRPr="00AB7BD7">
        <w:rPr>
          <w:rFonts w:ascii="Tw Cen MT" w:hAnsi="Tw Cen MT"/>
        </w:rPr>
        <w:t xml:space="preserve">ão. A 2ª, </w:t>
      </w:r>
      <w:r w:rsidRPr="00AB7BD7">
        <w:rPr>
          <w:rFonts w:ascii="Tw Cen MT" w:hAnsi="Tw Cen MT"/>
        </w:rPr>
        <w:t xml:space="preserve">corresponde à 2ª parte do artigo 224.º/1 </w:t>
      </w:r>
      <w:r w:rsidR="00AB7BD7" w:rsidRPr="00AB7BD7">
        <w:rPr>
          <w:rFonts w:ascii="Tw Cen MT" w:hAnsi="Tw Cen MT"/>
        </w:rPr>
        <w:t xml:space="preserve">e </w:t>
      </w:r>
      <w:r w:rsidRPr="00AB7BD7">
        <w:rPr>
          <w:rFonts w:ascii="Tw Cen MT" w:hAnsi="Tw Cen MT"/>
        </w:rPr>
        <w:t xml:space="preserve">pressupondo um destinatário </w:t>
      </w:r>
      <w:r w:rsidRPr="00AB7BD7">
        <w:rPr>
          <w:rFonts w:ascii="Tw Cen MT" w:hAnsi="Tw Cen MT"/>
          <w:i/>
        </w:rPr>
        <w:t>INDETERM</w:t>
      </w:r>
      <w:r w:rsidR="00AB7BD7" w:rsidRPr="00AB7BD7">
        <w:rPr>
          <w:rFonts w:ascii="Tw Cen MT" w:hAnsi="Tw Cen MT"/>
          <w:i/>
        </w:rPr>
        <w:t>INADO</w:t>
      </w:r>
      <w:r w:rsidR="00AB7BD7" w:rsidRPr="00AB7BD7">
        <w:rPr>
          <w:rFonts w:ascii="Tw Cen MT" w:hAnsi="Tw Cen MT"/>
        </w:rPr>
        <w:t xml:space="preserve">, torna-se eficaz, começa a </w:t>
      </w:r>
      <w:r w:rsidRPr="00AB7BD7">
        <w:rPr>
          <w:rFonts w:ascii="Tw Cen MT" w:hAnsi="Tw Cen MT"/>
        </w:rPr>
        <w:t>produzir efeitos assim que é manifestad</w:t>
      </w:r>
      <w:r w:rsidR="00AB7BD7" w:rsidRPr="00AB7BD7">
        <w:rPr>
          <w:rFonts w:ascii="Tw Cen MT" w:hAnsi="Tw Cen MT"/>
        </w:rPr>
        <w:t xml:space="preserve">a, desde de que o seja de forma </w:t>
      </w:r>
      <w:r w:rsidRPr="00AB7BD7">
        <w:rPr>
          <w:rFonts w:ascii="Tw Cen MT" w:hAnsi="Tw Cen MT"/>
        </w:rPr>
        <w:t>adequada.</w:t>
      </w:r>
    </w:p>
    <w:p w:rsidR="00D8115B" w:rsidRDefault="00D8115B" w:rsidP="008E6FC9">
      <w:pPr>
        <w:numPr>
          <w:ilvl w:val="0"/>
          <w:numId w:val="9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Esta distinção é importante tendo em conta a possibilidade de revogar a declaração negocial enquanto esta não produzir efeitos, artigo 230.º </w:t>
      </w:r>
    </w:p>
    <w:p w:rsidR="00D8115B" w:rsidRPr="00AB7BD7" w:rsidRDefault="00D8115B" w:rsidP="008E6FC9">
      <w:pPr>
        <w:numPr>
          <w:ilvl w:val="0"/>
          <w:numId w:val="9"/>
        </w:numPr>
        <w:spacing w:line="360" w:lineRule="auto"/>
        <w:jc w:val="both"/>
        <w:rPr>
          <w:rFonts w:ascii="Tw Cen MT" w:hAnsi="Tw Cen MT"/>
          <w:u w:val="single"/>
        </w:rPr>
      </w:pPr>
      <w:r>
        <w:rPr>
          <w:rFonts w:ascii="Tw Cen MT" w:hAnsi="Tw Cen MT"/>
        </w:rPr>
        <w:t xml:space="preserve">No caso concrecto existe ainda um prazo para a aceitação da declaração (30 dias). Para a questão do prazo releva o artigo 228.º/1/a) que remete para o artigo 279.º </w:t>
      </w:r>
      <w:r w:rsidR="00AB7BD7">
        <w:rPr>
          <w:rFonts w:ascii="Tw Cen MT" w:hAnsi="Tw Cen MT"/>
        </w:rPr>
        <w:t>relativamente</w:t>
      </w:r>
      <w:r>
        <w:rPr>
          <w:rFonts w:ascii="Tw Cen MT" w:hAnsi="Tw Cen MT"/>
        </w:rPr>
        <w:t xml:space="preserve"> a questões de contagem. No seguimento, </w:t>
      </w:r>
      <w:r w:rsidRPr="00AB7BD7">
        <w:rPr>
          <w:rFonts w:ascii="Tw Cen MT" w:hAnsi="Tw Cen MT"/>
          <w:u w:val="single"/>
        </w:rPr>
        <w:t xml:space="preserve">na opinião do assistente, o prazo de 30 dias conta a partir do momento em que é emita a declaração de forma a proteger os interesses do declarante (exemplo do carteiro que só entrega a declaração 3 anos depois). Esta situação é inversa à dos efeitos da declaração, ou seja, a declaração só produz efeitos assim que é recebida/conhecida pelo seu destinatário.  </w:t>
      </w:r>
    </w:p>
    <w:p w:rsidR="00D8115B" w:rsidRDefault="00D8115B" w:rsidP="008E6FC9">
      <w:pPr>
        <w:spacing w:line="360" w:lineRule="auto"/>
        <w:jc w:val="both"/>
        <w:rPr>
          <w:rFonts w:ascii="Tw Cen MT" w:hAnsi="Tw Cen MT"/>
          <w:b/>
          <w:u w:val="single"/>
        </w:rPr>
      </w:pPr>
    </w:p>
    <w:p w:rsidR="00D8115B" w:rsidRPr="00F66F72" w:rsidRDefault="00D8115B" w:rsidP="008E6FC9">
      <w:pPr>
        <w:numPr>
          <w:ilvl w:val="0"/>
          <w:numId w:val="6"/>
        </w:numPr>
        <w:spacing w:line="360" w:lineRule="auto"/>
        <w:jc w:val="both"/>
        <w:rPr>
          <w:rFonts w:ascii="Tw Cen MT" w:hAnsi="Tw Cen MT"/>
          <w:b/>
          <w:u w:val="single"/>
        </w:rPr>
      </w:pPr>
      <w:r>
        <w:rPr>
          <w:rFonts w:ascii="Tw Cen MT" w:hAnsi="Tw Cen MT"/>
          <w:b/>
        </w:rPr>
        <w:t>Aceitação da declaração/proposta de contratar</w:t>
      </w:r>
    </w:p>
    <w:p w:rsidR="00F66F72" w:rsidRDefault="00F66F72" w:rsidP="008E6FC9">
      <w:pPr>
        <w:numPr>
          <w:ilvl w:val="0"/>
          <w:numId w:val="11"/>
        </w:numPr>
        <w:spacing w:line="360" w:lineRule="auto"/>
        <w:jc w:val="both"/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Tem de ocorrer uma resposta, uma aceitação da declaração/proposta de contratar. Esta aceitação deve ser pura e simples sob pena de: se aceitação compreender aditamentos, limitações ou outros modificações implicar a rejeição da proposta senão for suficientemente precisa, neste caso tornando-se uma nova proposta como dispõe o artigo 233.º.</w:t>
      </w:r>
    </w:p>
    <w:p w:rsidR="00F66F72" w:rsidRDefault="00F66F72" w:rsidP="008E6FC9">
      <w:pPr>
        <w:numPr>
          <w:ilvl w:val="0"/>
          <w:numId w:val="11"/>
        </w:numPr>
        <w:spacing w:line="360" w:lineRule="auto"/>
        <w:jc w:val="both"/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 xml:space="preserve">A aceitação é também uma declaração, ou seja, é lhe aplicada também a regra do 224.º/1 "só produz efeitos a partir do momento em que é recebida/conhecida". </w:t>
      </w:r>
      <w:r w:rsidRPr="00D66F76">
        <w:rPr>
          <w:rFonts w:ascii="Tw Cen MT" w:hAnsi="Tw Cen MT"/>
          <w:szCs w:val="24"/>
          <w:u w:val="single"/>
        </w:rPr>
        <w:t>Este aspecto é muito importante pelo seguinte:</w:t>
      </w:r>
      <w:r>
        <w:rPr>
          <w:rFonts w:ascii="Tw Cen MT" w:hAnsi="Tw Cen MT"/>
          <w:szCs w:val="24"/>
        </w:rPr>
        <w:t xml:space="preserve"> se a aceitação for recebida/se </w:t>
      </w:r>
      <w:r>
        <w:rPr>
          <w:rFonts w:ascii="Tw Cen MT" w:hAnsi="Tw Cen MT"/>
          <w:szCs w:val="24"/>
        </w:rPr>
        <w:lastRenderedPageBreak/>
        <w:t xml:space="preserve">concluir dentro do prazo é tempestiva. No caso contrário, ainda que tenha sido emitida dentro tempo, dispõe o artigo 229.º que se a aceitação chegar tardiamente é considerada intempestiva e podem daqui resultar duas consequências: ou não produz efeitos, 229.º/1, ou, produz efeitos por vontade do proponente que se encontra agora ao abrigo de um direito potestativo (antes encontrava-se numa situação de sujeição). Por esse razão e uma vez que o prazo funciona em seu benefício pode renunciá-lo e considerar a aceitação eficaz. </w:t>
      </w:r>
    </w:p>
    <w:p w:rsidR="00F66F72" w:rsidRPr="00F66F72" w:rsidRDefault="00F66F72" w:rsidP="008E6FC9">
      <w:pPr>
        <w:spacing w:line="360" w:lineRule="auto"/>
        <w:ind w:left="360"/>
        <w:jc w:val="both"/>
        <w:rPr>
          <w:rFonts w:ascii="Tw Cen MT" w:hAnsi="Tw Cen MT"/>
          <w:b/>
          <w:u w:val="single"/>
        </w:rPr>
      </w:pPr>
    </w:p>
    <w:p w:rsidR="00F66F72" w:rsidRPr="00F66F72" w:rsidRDefault="00F66F72" w:rsidP="008E6FC9">
      <w:pPr>
        <w:numPr>
          <w:ilvl w:val="0"/>
          <w:numId w:val="6"/>
        </w:numPr>
        <w:spacing w:line="360" w:lineRule="auto"/>
        <w:jc w:val="both"/>
        <w:rPr>
          <w:rFonts w:ascii="Tw Cen MT" w:hAnsi="Tw Cen MT"/>
          <w:b/>
          <w:u w:val="single"/>
        </w:rPr>
      </w:pPr>
      <w:r w:rsidRPr="00F66F72">
        <w:rPr>
          <w:rFonts w:ascii="Tw Cen MT" w:hAnsi="Tw Cen MT"/>
          <w:b/>
        </w:rPr>
        <w:t>Aceitação</w:t>
      </w:r>
      <w:r>
        <w:rPr>
          <w:rFonts w:ascii="Tw Cen MT" w:hAnsi="Tw Cen MT"/>
          <w:b/>
        </w:rPr>
        <w:t>/declaração tácita</w:t>
      </w:r>
    </w:p>
    <w:p w:rsidR="00F66F72" w:rsidRDefault="00F66F72" w:rsidP="008E6FC9">
      <w:pPr>
        <w:numPr>
          <w:ilvl w:val="0"/>
          <w:numId w:val="12"/>
        </w:numPr>
        <w:spacing w:line="360" w:lineRule="auto"/>
        <w:jc w:val="both"/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 xml:space="preserve">A aceitação não necessita de ser expressa. Pode também ser tácita, artigo 217.º/1. Contudo, para que seja tácita não basta que resulte da inércia/silêncio, artigo 218.º Qualquer declaração, expressa ou tácita, tem que partir de um facto positivo, de uma manifestação da vontade, e tem igualmente que ser comunicada, ainda que não directamente mas evidenciado essa mesma vontade, mais uma vez artigo 217.º/1. </w:t>
      </w:r>
    </w:p>
    <w:p w:rsidR="00D66F76" w:rsidRDefault="00D66F76" w:rsidP="008E6FC9">
      <w:pPr>
        <w:spacing w:line="360" w:lineRule="auto"/>
        <w:jc w:val="both"/>
        <w:rPr>
          <w:rFonts w:ascii="Tw Cen MT" w:hAnsi="Tw Cen MT"/>
          <w:szCs w:val="24"/>
        </w:rPr>
      </w:pPr>
    </w:p>
    <w:p w:rsidR="00D66F76" w:rsidRDefault="00D66F76" w:rsidP="008E6FC9">
      <w:pPr>
        <w:spacing w:line="360" w:lineRule="auto"/>
        <w:rPr>
          <w:rFonts w:ascii="Tw Cen MT" w:hAnsi="Tw Cen MT"/>
          <w:szCs w:val="24"/>
        </w:rPr>
      </w:pPr>
    </w:p>
    <w:p w:rsidR="00D8115B" w:rsidRPr="00D66F76" w:rsidRDefault="00D8115B" w:rsidP="008E6FC9">
      <w:pPr>
        <w:spacing w:line="360" w:lineRule="auto"/>
        <w:rPr>
          <w:rFonts w:ascii="Tw Cen MT" w:hAnsi="Tw Cen MT"/>
          <w:szCs w:val="24"/>
        </w:rPr>
      </w:pPr>
    </w:p>
    <w:p w:rsidR="00D8115B" w:rsidRPr="00D66F76" w:rsidRDefault="00D8115B" w:rsidP="008E6FC9">
      <w:pPr>
        <w:spacing w:line="360" w:lineRule="auto"/>
        <w:rPr>
          <w:rFonts w:ascii="Tw Cen MT" w:hAnsi="Tw Cen MT"/>
          <w:szCs w:val="24"/>
        </w:rPr>
      </w:pPr>
    </w:p>
    <w:p w:rsidR="00D8115B" w:rsidRPr="00D66F76" w:rsidRDefault="00D8115B" w:rsidP="008E6FC9">
      <w:pPr>
        <w:spacing w:line="360" w:lineRule="auto"/>
        <w:rPr>
          <w:szCs w:val="24"/>
        </w:rPr>
      </w:pPr>
      <w:r w:rsidRPr="00D66F76">
        <w:rPr>
          <w:rFonts w:ascii="Tw Cen MT" w:hAnsi="Tw Cen MT"/>
          <w:szCs w:val="24"/>
        </w:rPr>
        <w:t xml:space="preserve"> </w:t>
      </w:r>
    </w:p>
    <w:p w:rsidR="00D66F76" w:rsidRPr="00D66F76" w:rsidRDefault="00D66F76" w:rsidP="008E6FC9">
      <w:pPr>
        <w:spacing w:line="360" w:lineRule="auto"/>
        <w:rPr>
          <w:szCs w:val="24"/>
        </w:rPr>
      </w:pPr>
    </w:p>
    <w:sectPr w:rsidR="00D66F76" w:rsidRPr="00D66F76"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E7" w:rsidRDefault="00C37EE7">
      <w:r>
        <w:separator/>
      </w:r>
    </w:p>
  </w:endnote>
  <w:endnote w:type="continuationSeparator" w:id="0">
    <w:p w:rsidR="00C37EE7" w:rsidRDefault="00C37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E7" w:rsidRDefault="00C37EE7">
      <w:r>
        <w:separator/>
      </w:r>
    </w:p>
  </w:footnote>
  <w:footnote w:type="continuationSeparator" w:id="0">
    <w:p w:rsidR="00C37EE7" w:rsidRDefault="00C37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6">
    <w:nsid w:val="0000000C"/>
    <w:multiLevelType w:val="multilevel"/>
    <w:tmpl w:val="0000000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7">
    <w:nsid w:val="0000000E"/>
    <w:multiLevelType w:val="multilevel"/>
    <w:tmpl w:val="0000000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8">
    <w:nsid w:val="00000010"/>
    <w:multiLevelType w:val="multilevel"/>
    <w:tmpl w:val="0000001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9">
    <w:nsid w:val="14DA2372"/>
    <w:multiLevelType w:val="multilevel"/>
    <w:tmpl w:val="039CB0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10">
    <w:nsid w:val="2AAC37D3"/>
    <w:multiLevelType w:val="hybridMultilevel"/>
    <w:tmpl w:val="C3D2D2C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505E55"/>
    <w:multiLevelType w:val="multilevel"/>
    <w:tmpl w:val="76FE75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BD7"/>
    <w:rsid w:val="002924CF"/>
    <w:rsid w:val="002F7308"/>
    <w:rsid w:val="00483C1F"/>
    <w:rsid w:val="00705B61"/>
    <w:rsid w:val="008E6FC9"/>
    <w:rsid w:val="00901D78"/>
    <w:rsid w:val="009178E2"/>
    <w:rsid w:val="00A07C46"/>
    <w:rsid w:val="00A604C8"/>
    <w:rsid w:val="00AB7BD7"/>
    <w:rsid w:val="00BB1B81"/>
    <w:rsid w:val="00C37EE7"/>
    <w:rsid w:val="00C7311E"/>
    <w:rsid w:val="00D00C74"/>
    <w:rsid w:val="00D66F76"/>
    <w:rsid w:val="00D8115B"/>
    <w:rsid w:val="00DA1BCA"/>
    <w:rsid w:val="00EF373A"/>
    <w:rsid w:val="00F6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customStyle="1" w:styleId="Tipodeletrapredefinidodopargrafo">
    <w:name w:val="Default Paragraph Font"/>
    <w:uiPriority w:val="1"/>
  </w:style>
  <w:style w:type="table" w:default="1" w:customStyle="1" w:styleId="Tabelanormal">
    <w:name w:val="Normal Table"/>
    <w:next w:val="Normal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customStyle="1" w:styleId="Semlista">
    <w:name w:val="No List"/>
    <w:next w:val="Normal"/>
    <w:uiPriority w:val="99"/>
  </w:style>
  <w:style w:type="character" w:customStyle="1" w:styleId="Tipodeletrapredefinidodopargrafo1">
    <w:name w:val="Tipo de letra predefinido do parágrafo1"/>
    <w:semiHidden/>
  </w:style>
  <w:style w:type="table" w:customStyle="1" w:styleId="Tabelanormal1">
    <w:name w:val="Tabela normal1"/>
    <w:next w:val="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Normal"/>
    <w:semiHidden/>
  </w:style>
  <w:style w:type="paragraph" w:customStyle="1" w:styleId="Ttulo11">
    <w:name w:val="Título 11"/>
    <w:basedOn w:val="Normal"/>
    <w:next w:val="Normal"/>
    <w:link w:val="Ttulo1Carcter"/>
    <w:qFormat/>
    <w:pPr>
      <w:spacing w:before="340" w:after="320" w:line="360" w:lineRule="auto"/>
    </w:pPr>
    <w:rPr>
      <w:rFonts w:ascii="Tw Cen MT" w:hAnsi="Tw Cen MT"/>
      <w:b/>
      <w:sz w:val="44"/>
    </w:rPr>
  </w:style>
  <w:style w:type="paragraph" w:customStyle="1" w:styleId="Cabealho1">
    <w:name w:val="Cabeçalho1"/>
    <w:basedOn w:val="Normal"/>
    <w:link w:val="CabealhoCarcter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1"/>
    <w:link w:val="Cabealho1"/>
    <w:rPr>
      <w:sz w:val="24"/>
    </w:rPr>
  </w:style>
  <w:style w:type="paragraph" w:customStyle="1" w:styleId="Rodap1">
    <w:name w:val="Rodapé1"/>
    <w:basedOn w:val="Normal"/>
    <w:link w:val="RodapCarcter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1"/>
    <w:link w:val="Rodap1"/>
    <w:rPr>
      <w:sz w:val="24"/>
    </w:rPr>
  </w:style>
  <w:style w:type="character" w:customStyle="1" w:styleId="Ttulo1Carcter">
    <w:name w:val="Título 1 Carácter"/>
    <w:basedOn w:val="Tipodeletrapredefinidodopargrafo1"/>
    <w:link w:val="Ttulo11"/>
    <w:rPr>
      <w:rFonts w:ascii="Tw Cen MT" w:hAnsi="Tw Cen MT"/>
      <w:b/>
      <w:sz w:val="44"/>
    </w:rPr>
  </w:style>
  <w:style w:type="character" w:customStyle="1" w:styleId="Hiperligao1">
    <w:name w:val="Hiperligação1"/>
    <w:basedOn w:val="Tipodeletrapredefinidodopargrafo1"/>
    <w:uiPriority w:val="99"/>
    <w:rPr>
      <w:color w:val="0000FF"/>
      <w:u w:val="single"/>
    </w:rPr>
  </w:style>
  <w:style w:type="character" w:customStyle="1" w:styleId="Refdenotaderodap1">
    <w:name w:val="Ref. de nota de rodapé1"/>
    <w:basedOn w:val="Tipodeletrapredefinidodopargrafo1"/>
    <w:uiPriority w:val="99"/>
    <w:rPr>
      <w:vertAlign w:val="superscript"/>
    </w:rPr>
  </w:style>
  <w:style w:type="character" w:customStyle="1" w:styleId="Refdenotadefim1">
    <w:name w:val="Ref. de nota de fim1"/>
    <w:basedOn w:val="Tipodeletrapredefinidodopargrafo1"/>
    <w:uiPriority w:val="99"/>
    <w:rPr>
      <w:vertAlign w:val="superscript"/>
    </w:rPr>
  </w:style>
  <w:style w:type="character" w:styleId="Hiperligao">
    <w:name w:val="Hyperlink"/>
    <w:basedOn w:val="Tipodeletrapredefinidodopargrafo"/>
    <w:uiPriority w:val="99"/>
    <w:rPr>
      <w:color w:val="0000FF"/>
      <w:u w:val="single"/>
    </w:rPr>
  </w:style>
  <w:style w:type="character" w:styleId="Refdenotaderodap">
    <w:name w:val="footnote reference"/>
    <w:basedOn w:val="Tipodeletrapredefinidodopargrafo"/>
    <w:uiPriority w:val="99"/>
    <w:rPr>
      <w:vertAlign w:val="superscript"/>
    </w:rPr>
  </w:style>
  <w:style w:type="character" w:styleId="Refdenotadefim">
    <w:name w:val="endnote reference"/>
    <w:basedOn w:val="Tipodeletrapredefinidodopargrafo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2</cp:revision>
  <dcterms:created xsi:type="dcterms:W3CDTF">2012-05-13T07:04:00Z</dcterms:created>
  <dcterms:modified xsi:type="dcterms:W3CDTF">2012-05-13T07:04:00Z</dcterms:modified>
</cp:coreProperties>
</file>