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E9" w:rsidRDefault="00D200E9">
      <w:pPr>
        <w:spacing w:line="240" w:lineRule="auto"/>
        <w:jc w:val="center"/>
        <w:rPr>
          <w:rFonts w:ascii="Arial" w:hAnsi="Arial" w:cs="Arial"/>
          <w:b/>
        </w:rPr>
      </w:pPr>
    </w:p>
    <w:p w:rsidR="00D200E9" w:rsidRDefault="005F3639" w:rsidP="005F3639">
      <w:pPr>
        <w:pStyle w:val="Ttulo11"/>
        <w:spacing w:before="0" w:after="0" w:line="240" w:lineRule="auto"/>
        <w:jc w:val="center"/>
        <w:rPr>
          <w:sz w:val="48"/>
        </w:rPr>
      </w:pPr>
      <w:r>
        <w:rPr>
          <w:sz w:val="48"/>
        </w:rPr>
        <w:t>Teoria Geral do Direito Civil II</w:t>
      </w:r>
    </w:p>
    <w:p w:rsidR="005F3639" w:rsidRDefault="005F3639" w:rsidP="004D24BC">
      <w:pPr>
        <w:pStyle w:val="Ttulo11"/>
        <w:spacing w:before="0" w:after="0" w:line="240" w:lineRule="auto"/>
        <w:jc w:val="center"/>
        <w:rPr>
          <w:color w:val="FF0000"/>
          <w:sz w:val="28"/>
        </w:rPr>
      </w:pPr>
      <w:r w:rsidRPr="005F3639">
        <w:rPr>
          <w:color w:val="FF0000"/>
          <w:sz w:val="28"/>
        </w:rPr>
        <w:t>(Práticas)</w:t>
      </w:r>
    </w:p>
    <w:p w:rsidR="004D24BC" w:rsidRPr="004D24BC" w:rsidRDefault="004D24BC" w:rsidP="004D24BC"/>
    <w:p w:rsidR="00D200E9" w:rsidRDefault="005F3639">
      <w:pPr>
        <w:jc w:val="center"/>
        <w:rPr>
          <w:rFonts w:ascii="Tw Cen MT" w:hAnsi="Tw Cen MT"/>
          <w:b/>
          <w:sz w:val="32"/>
        </w:rPr>
      </w:pPr>
      <w:r w:rsidRPr="005F3639">
        <w:rPr>
          <w:rFonts w:ascii="Tw Cen MT" w:hAnsi="Tw Cen MT"/>
          <w:b/>
          <w:sz w:val="32"/>
          <w:highlight w:val="red"/>
        </w:rPr>
        <w:t>Simulação de Julgamento</w:t>
      </w:r>
    </w:p>
    <w:p w:rsidR="004D24BC" w:rsidRDefault="004D24BC" w:rsidP="004D24BC">
      <w:pPr>
        <w:spacing w:line="240" w:lineRule="auto"/>
        <w:jc w:val="center"/>
        <w:rPr>
          <w:rFonts w:ascii="Tw Cen MT" w:hAnsi="Tw Cen MT" w:cs="Arial"/>
          <w:b/>
        </w:rPr>
      </w:pPr>
    </w:p>
    <w:p w:rsidR="004D24BC" w:rsidRDefault="004D24BC" w:rsidP="004D24BC">
      <w:pPr>
        <w:spacing w:line="240" w:lineRule="auto"/>
        <w:jc w:val="center"/>
        <w:rPr>
          <w:rFonts w:ascii="Tw Cen MT" w:hAnsi="Tw Cen MT" w:cs="Arial"/>
          <w:b/>
        </w:rPr>
      </w:pPr>
    </w:p>
    <w:p w:rsidR="00D200E9" w:rsidRDefault="00D200E9">
      <w:pPr>
        <w:rPr>
          <w:rFonts w:ascii="Tw Cen MT" w:hAnsi="Tw Cen MT" w:cs="Arial"/>
          <w:b/>
          <w:u w:val="single"/>
        </w:rPr>
      </w:pPr>
    </w:p>
    <w:p w:rsidR="00D200E9" w:rsidRDefault="005F3639">
      <w:pPr>
        <w:rPr>
          <w:rFonts w:ascii="Tw Cen MT" w:hAnsi="Tw Cen MT"/>
          <w:b/>
          <w:sz w:val="32"/>
          <w:u w:val="single"/>
        </w:rPr>
      </w:pPr>
      <w:r>
        <w:rPr>
          <w:rFonts w:ascii="Tw Cen MT" w:hAnsi="Tw Cen MT" w:cs="Arial"/>
          <w:b/>
          <w:u w:val="single"/>
        </w:rPr>
        <w:t>Subturmas 10, 11, 17 e (13 e 18)</w:t>
      </w:r>
    </w:p>
    <w:p w:rsidR="00D200E9" w:rsidRDefault="005F3639">
      <w:pPr>
        <w:pStyle w:val="PargrafodaLista"/>
        <w:numPr>
          <w:ilvl w:val="0"/>
          <w:numId w:val="1"/>
        </w:numPr>
        <w:ind w:left="357" w:hanging="357"/>
        <w:rPr>
          <w:rFonts w:ascii="Tw Cen MT" w:hAnsi="Tw Cen MT" w:cs="Arial"/>
        </w:rPr>
      </w:pPr>
      <w:r>
        <w:rPr>
          <w:rFonts w:ascii="Tw Cen MT" w:hAnsi="Tw Cen MT" w:cs="Arial"/>
          <w:b/>
        </w:rPr>
        <w:t>Subturma 17:</w:t>
      </w:r>
      <w:r>
        <w:rPr>
          <w:rFonts w:ascii="Tw Cen MT" w:hAnsi="Tw Cen MT" w:cs="Arial"/>
        </w:rPr>
        <w:t xml:space="preserve"> Advogados de B (autor) e testemunhas de A (p.i até dia 2 de Abril)</w:t>
      </w:r>
    </w:p>
    <w:p w:rsidR="00D200E9" w:rsidRDefault="005F3639">
      <w:pPr>
        <w:pStyle w:val="PargrafodaLista"/>
        <w:numPr>
          <w:ilvl w:val="0"/>
          <w:numId w:val="1"/>
        </w:numPr>
        <w:ind w:left="357" w:hanging="357"/>
        <w:rPr>
          <w:rFonts w:ascii="Tw Cen MT" w:hAnsi="Tw Cen MT" w:cs="Arial"/>
        </w:rPr>
      </w:pPr>
      <w:r>
        <w:rPr>
          <w:rFonts w:ascii="Tw Cen MT" w:hAnsi="Tw Cen MT" w:cs="Arial"/>
          <w:b/>
        </w:rPr>
        <w:t>Subturma 10:</w:t>
      </w:r>
      <w:r>
        <w:rPr>
          <w:rFonts w:ascii="Tw Cen MT" w:hAnsi="Tw Cen MT" w:cs="Arial"/>
        </w:rPr>
        <w:t xml:space="preserve"> Advogados do Banco Natural S.A. e testemunhas do Banco Natural S.A. (contestação e reconvenção até ao dia até ao dia 27 de Abril)</w:t>
      </w:r>
    </w:p>
    <w:p w:rsidR="00D200E9" w:rsidRDefault="005F3639">
      <w:pPr>
        <w:pStyle w:val="PargrafodaLista"/>
        <w:numPr>
          <w:ilvl w:val="0"/>
          <w:numId w:val="1"/>
        </w:numPr>
        <w:ind w:left="357" w:hanging="357"/>
        <w:rPr>
          <w:rFonts w:ascii="Tw Cen MT" w:hAnsi="Tw Cen MT" w:cs="Arial"/>
        </w:rPr>
      </w:pPr>
      <w:r>
        <w:rPr>
          <w:rFonts w:ascii="Tw Cen MT" w:hAnsi="Tw Cen MT" w:cs="Arial"/>
          <w:b/>
        </w:rPr>
        <w:t>Subturma (</w:t>
      </w:r>
      <w:bookmarkStart w:id="0" w:name="_GoBack"/>
      <w:bookmarkEnd w:id="0"/>
      <w:r>
        <w:rPr>
          <w:rFonts w:ascii="Tw Cen MT" w:hAnsi="Tw Cen MT" w:cs="Arial"/>
          <w:b/>
        </w:rPr>
        <w:t>13 e 18):</w:t>
      </w:r>
      <w:r>
        <w:rPr>
          <w:rFonts w:ascii="Tw Cen MT" w:hAnsi="Tw Cen MT" w:cs="Arial"/>
        </w:rPr>
        <w:t xml:space="preserve"> Advogados de A e testemunhas de A. (contestação e reconvenção até ao dia 27 de Abril)</w:t>
      </w:r>
    </w:p>
    <w:p w:rsidR="00D200E9" w:rsidRDefault="005F3639">
      <w:pPr>
        <w:pStyle w:val="PargrafodaLista"/>
        <w:numPr>
          <w:ilvl w:val="0"/>
          <w:numId w:val="1"/>
        </w:numPr>
        <w:ind w:left="357" w:hanging="357"/>
        <w:rPr>
          <w:rFonts w:ascii="Tw Cen MT" w:hAnsi="Tw Cen MT" w:cs="Arial"/>
        </w:rPr>
      </w:pPr>
      <w:r>
        <w:rPr>
          <w:rFonts w:ascii="Tw Cen MT" w:hAnsi="Tw Cen MT" w:cs="Arial"/>
          <w:b/>
        </w:rPr>
        <w:t>Subturma 11:</w:t>
      </w:r>
      <w:r>
        <w:rPr>
          <w:rFonts w:ascii="Tw Cen MT" w:hAnsi="Tw Cen MT" w:cs="Arial"/>
        </w:rPr>
        <w:t xml:space="preserve"> Tribunal (Julgamento e Acórdão no dia 2 de Maio, às 14 horas na sala de audiências da FDL)</w:t>
      </w:r>
    </w:p>
    <w:p w:rsidR="00D200E9" w:rsidRDefault="00D200E9">
      <w:pPr>
        <w:rPr>
          <w:rFonts w:ascii="Tw Cen MT" w:hAnsi="Tw Cen MT" w:cs="Arial"/>
        </w:rPr>
      </w:pPr>
    </w:p>
    <w:p w:rsidR="00D200E9" w:rsidRDefault="00D200E9">
      <w:pPr>
        <w:rPr>
          <w:rFonts w:ascii="Tw Cen MT" w:hAnsi="Tw Cen MT" w:cs="Arial"/>
        </w:rPr>
      </w:pPr>
    </w:p>
    <w:p w:rsidR="00D200E9" w:rsidRDefault="005F3639">
      <w:pPr>
        <w:shd w:val="clear" w:color="auto" w:fill="EEECE1" w:themeFill="background2"/>
        <w:rPr>
          <w:rFonts w:ascii="Tw Cen MT" w:hAnsi="Tw Cen MT" w:cs="Arial"/>
        </w:rPr>
      </w:pPr>
      <w:r>
        <w:rPr>
          <w:rFonts w:ascii="Tw Cen MT" w:hAnsi="Tw Cen MT" w:cs="Arial"/>
          <w:b/>
        </w:rPr>
        <w:t>António</w:t>
      </w:r>
    </w:p>
    <w:p w:rsidR="00D200E9" w:rsidRDefault="005F3639">
      <w:pPr>
        <w:shd w:val="clear" w:color="auto" w:fill="EEECE1" w:themeFill="background2"/>
        <w:rPr>
          <w:rFonts w:ascii="Tw Cen MT" w:hAnsi="Tw Cen MT" w:cs="Arial"/>
        </w:rPr>
      </w:pPr>
      <w:r>
        <w:rPr>
          <w:rFonts w:ascii="Tw Cen MT" w:hAnsi="Tw Cen MT" w:cs="Arial"/>
        </w:rPr>
        <w:t xml:space="preserve">António, que foi </w:t>
      </w:r>
      <w:r>
        <w:rPr>
          <w:rFonts w:ascii="Tw Cen MT" w:hAnsi="Tw Cen MT" w:cs="Arial"/>
          <w:i/>
        </w:rPr>
        <w:t>hippie</w:t>
      </w:r>
      <w:r>
        <w:rPr>
          <w:rFonts w:ascii="Tw Cen MT" w:hAnsi="Tw Cen MT" w:cs="Arial"/>
        </w:rPr>
        <w:t xml:space="preserve"> nos anos 60 e hoje se encontra reformado, procurou uma propriedade para construir um acampamento para turismo rural e naturista, nas margens da barragem do Alto Lindoso.</w:t>
      </w:r>
    </w:p>
    <w:p w:rsidR="00D200E9" w:rsidRDefault="005F3639">
      <w:pPr>
        <w:shd w:val="clear" w:color="auto" w:fill="EEECE1" w:themeFill="background2"/>
        <w:rPr>
          <w:rFonts w:ascii="Tw Cen MT" w:hAnsi="Tw Cen MT" w:cs="Arial"/>
        </w:rPr>
      </w:pPr>
      <w:r>
        <w:rPr>
          <w:rFonts w:ascii="Tw Cen MT" w:hAnsi="Tw Cen MT" w:cs="Arial"/>
        </w:rPr>
        <w:t xml:space="preserve">Para tanto mandatou Bento, amigo de infância, para que procurasse a dita propriedade e a comprasse, em nome de António, pelo preço de € 1.000.000,00. </w:t>
      </w:r>
    </w:p>
    <w:p w:rsidR="00364C9A" w:rsidRDefault="00364C9A">
      <w:pPr>
        <w:shd w:val="clear" w:color="auto" w:fill="EEECE1" w:themeFill="background2"/>
        <w:rPr>
          <w:rFonts w:ascii="Tw Cen MT" w:hAnsi="Tw Cen MT" w:cs="Arial"/>
          <w:b/>
        </w:rPr>
      </w:pPr>
    </w:p>
    <w:p w:rsidR="00D200E9" w:rsidRDefault="005F3639">
      <w:pPr>
        <w:shd w:val="clear" w:color="auto" w:fill="EEECE1" w:themeFill="background2"/>
        <w:rPr>
          <w:rFonts w:ascii="Tw Cen MT" w:hAnsi="Tw Cen MT" w:cs="Arial"/>
        </w:rPr>
      </w:pPr>
      <w:r>
        <w:rPr>
          <w:rFonts w:ascii="Tw Cen MT" w:hAnsi="Tw Cen MT" w:cs="Arial"/>
          <w:b/>
        </w:rPr>
        <w:t>Bento</w:t>
      </w:r>
    </w:p>
    <w:p w:rsidR="00D200E9" w:rsidRDefault="005F3639">
      <w:pPr>
        <w:shd w:val="clear" w:color="auto" w:fill="EEECE1" w:themeFill="background2"/>
        <w:rPr>
          <w:rFonts w:ascii="Tw Cen MT" w:hAnsi="Tw Cen MT" w:cs="Arial"/>
        </w:rPr>
      </w:pPr>
      <w:r>
        <w:rPr>
          <w:rFonts w:ascii="Tw Cen MT" w:hAnsi="Tw Cen MT" w:cs="Arial"/>
        </w:rPr>
        <w:t>Bento era proprietário de uma herdade na margem Sul do Alto Lindoso, na qual nada se podia construir com carácter inamovível por estar qualificada pelo Governo como Zona Ecológica.</w:t>
      </w:r>
    </w:p>
    <w:p w:rsidR="00D200E9" w:rsidRDefault="005F3639">
      <w:pPr>
        <w:shd w:val="clear" w:color="auto" w:fill="EEECE1" w:themeFill="background2"/>
        <w:rPr>
          <w:rFonts w:ascii="Tw Cen MT" w:hAnsi="Tw Cen MT" w:cs="Arial"/>
        </w:rPr>
      </w:pPr>
      <w:r>
        <w:rPr>
          <w:rFonts w:ascii="Tw Cen MT" w:hAnsi="Tw Cen MT" w:cs="Arial"/>
        </w:rPr>
        <w:t>Bento substabeleceu, sem reserva, os seus poderes em Carlos, seu sobrinho, e exercendo a sua autoridade de tio forçou-o a, em nome de António, comprar-lhe a herdade, o que foi feito por escritura pública no dia 25 de Março de 2010.</w:t>
      </w:r>
    </w:p>
    <w:p w:rsidR="00D200E9" w:rsidRDefault="00D200E9">
      <w:pPr>
        <w:rPr>
          <w:rFonts w:ascii="Tw Cen MT" w:hAnsi="Tw Cen MT" w:cs="Arial"/>
          <w:b/>
        </w:rPr>
      </w:pPr>
    </w:p>
    <w:p w:rsidR="00D200E9" w:rsidRDefault="005F3639">
      <w:pPr>
        <w:shd w:val="clear" w:color="auto" w:fill="EEECE1" w:themeFill="background2"/>
        <w:rPr>
          <w:rFonts w:ascii="Tw Cen MT" w:hAnsi="Tw Cen MT" w:cs="Arial"/>
          <w:b/>
        </w:rPr>
      </w:pPr>
      <w:r>
        <w:rPr>
          <w:rFonts w:ascii="Tw Cen MT" w:hAnsi="Tw Cen MT" w:cs="Arial"/>
          <w:b/>
        </w:rPr>
        <w:t>O contrato</w:t>
      </w:r>
    </w:p>
    <w:p w:rsidR="00D200E9" w:rsidRDefault="005F3639">
      <w:pPr>
        <w:shd w:val="clear" w:color="auto" w:fill="EEECE1" w:themeFill="background2"/>
        <w:rPr>
          <w:rFonts w:ascii="Tw Cen MT" w:hAnsi="Tw Cen MT" w:cs="Arial"/>
        </w:rPr>
      </w:pPr>
      <w:r>
        <w:rPr>
          <w:rFonts w:ascii="Tw Cen MT" w:hAnsi="Tw Cen MT" w:cs="Arial"/>
        </w:rPr>
        <w:t xml:space="preserve">No contrato foi aposta uma cláusula, que tinha sido solicitada por António, segundo a qual o contrato ficaria sem efeito se, nos dois meses posteriores à celebração da </w:t>
      </w:r>
      <w:r>
        <w:rPr>
          <w:rFonts w:ascii="Tw Cen MT" w:hAnsi="Tw Cen MT" w:cs="Arial"/>
        </w:rPr>
        <w:lastRenderedPageBreak/>
        <w:t xml:space="preserve">escritura, as margens do Alto Lindoso deixassem de estar qualificadas como Zona Ecológica. </w:t>
      </w:r>
    </w:p>
    <w:p w:rsidR="00D200E9" w:rsidRDefault="00D200E9">
      <w:pPr>
        <w:shd w:val="clear" w:color="auto" w:fill="EEECE1" w:themeFill="background2"/>
        <w:rPr>
          <w:rFonts w:ascii="Tw Cen MT" w:hAnsi="Tw Cen MT" w:cs="Arial"/>
        </w:rPr>
      </w:pPr>
    </w:p>
    <w:p w:rsidR="00D200E9" w:rsidRDefault="005F3639">
      <w:pPr>
        <w:shd w:val="clear" w:color="auto" w:fill="EEECE1" w:themeFill="background2"/>
        <w:rPr>
          <w:rFonts w:ascii="Tw Cen MT" w:hAnsi="Tw Cen MT" w:cs="Arial"/>
          <w:b/>
        </w:rPr>
      </w:pPr>
      <w:r>
        <w:rPr>
          <w:rFonts w:ascii="Tw Cen MT" w:hAnsi="Tw Cen MT" w:cs="Arial"/>
          <w:b/>
        </w:rPr>
        <w:t>O Petróleo</w:t>
      </w:r>
    </w:p>
    <w:p w:rsidR="00D200E9" w:rsidRDefault="005F3639">
      <w:pPr>
        <w:shd w:val="clear" w:color="auto" w:fill="EEECE1" w:themeFill="background2"/>
        <w:rPr>
          <w:rFonts w:ascii="Tw Cen MT" w:hAnsi="Tw Cen MT" w:cs="Arial"/>
        </w:rPr>
      </w:pPr>
      <w:r>
        <w:rPr>
          <w:rFonts w:ascii="Tw Cen MT" w:hAnsi="Tw Cen MT" w:cs="Arial"/>
        </w:rPr>
        <w:t xml:space="preserve">No dia 1 de Abril de 2010, foi noticiado, em vários canais de televisão, que uma sonda da Petrobras e da Galp indicou grande probabilidade de existir uma enorme bolsa de petróleo na barragem do Alto Lindoso e terrenos adjacentes. </w:t>
      </w:r>
    </w:p>
    <w:p w:rsidR="00D200E9" w:rsidRDefault="005F3639">
      <w:pPr>
        <w:shd w:val="clear" w:color="auto" w:fill="EEECE1" w:themeFill="background2"/>
        <w:rPr>
          <w:rFonts w:ascii="Tw Cen MT" w:hAnsi="Tw Cen MT" w:cs="Arial"/>
          <w:color w:val="FF0000"/>
        </w:rPr>
      </w:pPr>
      <w:r>
        <w:rPr>
          <w:rFonts w:ascii="Tw Cen MT" w:hAnsi="Tw Cen MT" w:cs="Arial"/>
        </w:rPr>
        <w:t xml:space="preserve">No dia 10 de Abril de 2010, foi divulgado, nos meios de comunicação social que um membro do Governo havia decidido alterar a qualificação urbanística da barragem para Zona Industrial, pois desejava construir nela uma central co-inceneradora para produção de cimento e destruição de resíduos perigosos. Há a suspeita de que a decisão do membro do Governo foi efectuada após Bento lhe ter prometido uma participação na exploração do petróleo do terreno. </w:t>
      </w:r>
    </w:p>
    <w:p w:rsidR="00364C9A" w:rsidRDefault="00364C9A">
      <w:pPr>
        <w:shd w:val="clear" w:color="auto" w:fill="EEECE1" w:themeFill="background2"/>
        <w:rPr>
          <w:rFonts w:ascii="Tw Cen MT" w:hAnsi="Tw Cen MT" w:cs="Arial"/>
          <w:b/>
        </w:rPr>
      </w:pPr>
    </w:p>
    <w:p w:rsidR="00D200E9" w:rsidRDefault="005F3639">
      <w:pPr>
        <w:shd w:val="clear" w:color="auto" w:fill="EEECE1" w:themeFill="background2"/>
        <w:rPr>
          <w:rFonts w:ascii="Tw Cen MT" w:hAnsi="Tw Cen MT" w:cs="Arial"/>
          <w:b/>
        </w:rPr>
      </w:pPr>
      <w:r>
        <w:rPr>
          <w:rFonts w:ascii="Tw Cen MT" w:hAnsi="Tw Cen MT" w:cs="Arial"/>
          <w:b/>
        </w:rPr>
        <w:t>O Banco</w:t>
      </w:r>
    </w:p>
    <w:p w:rsidR="00D200E9" w:rsidRDefault="005F3639">
      <w:pPr>
        <w:shd w:val="clear" w:color="auto" w:fill="EEECE1" w:themeFill="background2"/>
        <w:rPr>
          <w:rFonts w:ascii="Tw Cen MT" w:hAnsi="Tw Cen MT" w:cs="Arial"/>
        </w:rPr>
      </w:pPr>
      <w:r>
        <w:rPr>
          <w:rFonts w:ascii="Tw Cen MT" w:hAnsi="Tw Cen MT" w:cs="Arial"/>
        </w:rPr>
        <w:t xml:space="preserve">António hipotecou a herdade a favor do Banco Natural S.A. para financiar a aquisição de tendas e outros materiais para o acampamento, não pagando as prestações devidas há mais de cinco meses. </w:t>
      </w:r>
    </w:p>
    <w:p w:rsidR="00364C9A" w:rsidRDefault="005F3639">
      <w:pPr>
        <w:shd w:val="clear" w:color="auto" w:fill="EEECE1" w:themeFill="background2"/>
        <w:rPr>
          <w:rFonts w:ascii="Tw Cen MT" w:hAnsi="Tw Cen MT" w:cs="Arial"/>
          <w:color w:val="FF0000"/>
        </w:rPr>
      </w:pPr>
      <w:r>
        <w:rPr>
          <w:rFonts w:ascii="Tw Cen MT" w:hAnsi="Tw Cen MT" w:cs="Arial"/>
        </w:rPr>
        <w:t xml:space="preserve">Bento quer recuperar o terreno livre da hipoteca (Autor) </w:t>
      </w:r>
    </w:p>
    <w:p w:rsidR="00D200E9" w:rsidRDefault="005F3639">
      <w:pPr>
        <w:shd w:val="clear" w:color="auto" w:fill="EEECE1" w:themeFill="background2"/>
        <w:rPr>
          <w:rFonts w:ascii="Tw Cen MT" w:hAnsi="Tw Cen MT" w:cs="Arial"/>
        </w:rPr>
      </w:pPr>
      <w:r>
        <w:rPr>
          <w:rFonts w:ascii="Tw Cen MT" w:hAnsi="Tw Cen MT" w:cs="Arial"/>
        </w:rPr>
        <w:t>António quer manter o terreno mas responsabilizar A pelo seu comportamento pré-contratual (Réu, reconvinte)</w:t>
      </w:r>
    </w:p>
    <w:p w:rsidR="00D200E9" w:rsidRDefault="005F3639">
      <w:pPr>
        <w:shd w:val="clear" w:color="auto" w:fill="EEECE1" w:themeFill="background2"/>
        <w:rPr>
          <w:rFonts w:ascii="Tw Cen MT" w:hAnsi="Tw Cen MT" w:cs="Arial"/>
        </w:rPr>
      </w:pPr>
      <w:r>
        <w:rPr>
          <w:rFonts w:ascii="Tw Cen MT" w:hAnsi="Tw Cen MT" w:cs="Arial"/>
        </w:rPr>
        <w:t>O Banco quer executar a hipoteca por causa do incumprimento de A. (Réu, reconvinte)</w:t>
      </w:r>
    </w:p>
    <w:sectPr w:rsidR="00D200E9" w:rsidSect="00D200E9">
      <w:pgSz w:w="11906" w:h="16838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320E7"/>
    <w:multiLevelType w:val="hybridMultilevel"/>
    <w:tmpl w:val="13A27872"/>
    <w:lvl w:ilvl="0" w:tplc="47945B1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6A2EB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CF68538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860B2A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7396CCA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80E3C7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008D7B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B3E73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3932979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5519"/>
    <w:rsid w:val="0008252A"/>
    <w:rsid w:val="000B4677"/>
    <w:rsid w:val="001D65FA"/>
    <w:rsid w:val="0021646E"/>
    <w:rsid w:val="002B05BC"/>
    <w:rsid w:val="002B1D6E"/>
    <w:rsid w:val="00364C9A"/>
    <w:rsid w:val="0037580B"/>
    <w:rsid w:val="003F2D02"/>
    <w:rsid w:val="00405147"/>
    <w:rsid w:val="004B722F"/>
    <w:rsid w:val="004C2E16"/>
    <w:rsid w:val="004D24BC"/>
    <w:rsid w:val="005F3639"/>
    <w:rsid w:val="00742832"/>
    <w:rsid w:val="00750A25"/>
    <w:rsid w:val="00793EBA"/>
    <w:rsid w:val="00894AEF"/>
    <w:rsid w:val="008C3FC2"/>
    <w:rsid w:val="00925519"/>
    <w:rsid w:val="009F1D4D"/>
    <w:rsid w:val="00A03AEB"/>
    <w:rsid w:val="00A621D6"/>
    <w:rsid w:val="00B22155"/>
    <w:rsid w:val="00B430B8"/>
    <w:rsid w:val="00B911FD"/>
    <w:rsid w:val="00D200E9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D200E9"/>
    <w:pPr>
      <w:spacing w:line="360" w:lineRule="auto"/>
      <w:jc w:val="both"/>
    </w:pPr>
    <w:rPr>
      <w:rFonts w:ascii="CG Times" w:eastAsia="Times New Roman" w:hAnsi="CG Times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1"/>
    <w:uiPriority w:val="99"/>
    <w:rsid w:val="00D200E9"/>
    <w:rPr>
      <w:rFonts w:ascii="Tw Cen MT" w:eastAsia="Times New Roman" w:hAnsi="Tw Cen MT"/>
      <w:b/>
      <w:sz w:val="44"/>
    </w:rPr>
  </w:style>
  <w:style w:type="character" w:customStyle="1" w:styleId="TtuloCarcter">
    <w:name w:val="Título Carácter"/>
    <w:basedOn w:val="Tipodeletrapredefinidodopargrafo"/>
    <w:link w:val="Ttulo"/>
    <w:uiPriority w:val="99"/>
    <w:rsid w:val="00D200E9"/>
    <w:rPr>
      <w:rFonts w:ascii="Cambria" w:hAnsi="Cambria" w:cs="Times New Roman"/>
      <w:b/>
      <w:sz w:val="32"/>
    </w:rPr>
  </w:style>
  <w:style w:type="paragraph" w:styleId="Ttulo">
    <w:name w:val="Title"/>
    <w:basedOn w:val="Normal"/>
    <w:link w:val="TtuloCarcter"/>
    <w:uiPriority w:val="99"/>
    <w:rsid w:val="00D200E9"/>
    <w:pPr>
      <w:spacing w:line="240" w:lineRule="auto"/>
      <w:jc w:val="center"/>
    </w:pPr>
    <w:rPr>
      <w:rFonts w:eastAsia="Calibri"/>
      <w:b/>
    </w:rPr>
  </w:style>
  <w:style w:type="paragraph" w:customStyle="1" w:styleId="Ttulo11">
    <w:name w:val="Título 11"/>
    <w:basedOn w:val="Normal"/>
    <w:next w:val="Normal"/>
    <w:link w:val="Ttulo1Carcter"/>
    <w:uiPriority w:val="99"/>
    <w:rsid w:val="00D200E9"/>
    <w:pPr>
      <w:spacing w:before="340" w:after="320"/>
      <w:jc w:val="left"/>
    </w:pPr>
    <w:rPr>
      <w:rFonts w:ascii="Tw Cen MT" w:hAnsi="Tw Cen MT"/>
      <w:b/>
      <w:sz w:val="44"/>
    </w:rPr>
  </w:style>
  <w:style w:type="paragraph" w:styleId="PargrafodaLista">
    <w:name w:val="List Paragraph"/>
    <w:basedOn w:val="Normal"/>
    <w:uiPriority w:val="34"/>
    <w:rsid w:val="00D200E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rsid w:val="00D200E9"/>
    <w:rPr>
      <w:color w:val="0000FF"/>
      <w:u w:val="single"/>
    </w:rPr>
  </w:style>
  <w:style w:type="character" w:styleId="Refdenotaderodap">
    <w:name w:val="footnote reference"/>
    <w:basedOn w:val="Tipodeletrapredefinidodopargrafo"/>
    <w:uiPriority w:val="99"/>
    <w:rsid w:val="00D200E9"/>
    <w:rPr>
      <w:vertAlign w:val="superscript"/>
    </w:rPr>
  </w:style>
  <w:style w:type="character" w:styleId="Refdenotadefim">
    <w:name w:val="endnote reference"/>
    <w:basedOn w:val="Tipodeletrapredefinidodopargrafo"/>
    <w:uiPriority w:val="99"/>
    <w:rsid w:val="00D200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19"/>
    <w:pPr>
      <w:spacing w:line="360" w:lineRule="auto"/>
      <w:jc w:val="both"/>
    </w:pPr>
    <w:rPr>
      <w:rFonts w:ascii="CG Times" w:eastAsia="Times New Roman" w:hAnsi="CG Times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B911FD"/>
    <w:pPr>
      <w:spacing w:line="240" w:lineRule="auto"/>
      <w:jc w:val="center"/>
    </w:pPr>
    <w:rPr>
      <w:rFonts w:eastAsia="Calibri"/>
      <w:b/>
      <w:bCs/>
      <w:lang w:val="pt-PT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null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FACULDADE DE DIREITO DE LISBOA</vt:lpstr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DE DIREITO DE LISBOA</dc:title>
  <dc:creator>Mafalda</dc:creator>
  <cp:lastModifiedBy>Tiago</cp:lastModifiedBy>
  <cp:revision>9</cp:revision>
  <dcterms:created xsi:type="dcterms:W3CDTF">2012-03-18T16:03:00Z</dcterms:created>
  <dcterms:modified xsi:type="dcterms:W3CDTF">2012-04-30T18:00:00Z</dcterms:modified>
</cp:coreProperties>
</file>