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94" w:rsidRPr="00555ED5" w:rsidRDefault="0095383F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555ED5">
        <w:rPr>
          <w:rFonts w:ascii="Garamond" w:hAnsi="Garamond" w:cs="Times New Roman"/>
          <w:b/>
          <w:smallCaps/>
          <w:noProof/>
          <w:sz w:val="20"/>
          <w:szCs w:val="20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5pt;margin-top:-.65pt;width:225.5pt;height:32.15pt;z-index:251663360" filled="f" stroked="f">
            <v:textbox>
              <w:txbxContent>
                <w:p w:rsidR="0080672B" w:rsidRDefault="0095383F" w:rsidP="0080672B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</w:pPr>
                  <w:r w:rsidRPr="00513D18"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  <w:t>Anál</w:t>
                  </w:r>
                  <w:r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  <w:t xml:space="preserve">ise comparativa de documentos e </w:t>
                  </w:r>
                  <w:r w:rsidRPr="00513D18"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  <w:t>imagens</w:t>
                  </w:r>
                  <w:r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95383F" w:rsidRPr="0095383F" w:rsidRDefault="0095383F" w:rsidP="0080672B">
                  <w:pPr>
                    <w:spacing w:after="0" w:line="240" w:lineRule="auto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Times New Roman"/>
                      <w:b/>
                      <w:i/>
                      <w:sz w:val="20"/>
                      <w:szCs w:val="20"/>
                    </w:rPr>
                    <w:t>jurídicos e não jurídicos</w:t>
                  </w:r>
                </w:p>
              </w:txbxContent>
            </v:textbox>
          </v:shape>
        </w:pict>
      </w:r>
      <w:r w:rsidR="00CD3C94" w:rsidRPr="00555ED5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513D18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513D18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Default="00CD3C9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 w:rsidRPr="00513D18">
        <w:rPr>
          <w:rFonts w:ascii="Garamond" w:hAnsi="Garamond" w:cs="Times New Roman"/>
          <w:sz w:val="20"/>
          <w:szCs w:val="20"/>
        </w:rPr>
        <w:t>Sociologia do Direito 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9B45CE" w:rsidRDefault="009B45CE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9B45CE" w:rsidRDefault="009B45CE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132BEE" w:rsidRDefault="00132BEE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132BEE" w:rsidRDefault="00132BEE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9B45CE" w:rsidRDefault="009B45CE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P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tbl>
      <w:tblPr>
        <w:tblStyle w:val="Tabelacomgrelh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74"/>
        <w:gridCol w:w="8608"/>
      </w:tblGrid>
      <w:tr w:rsidR="00CD3C94" w:rsidRPr="00513D18" w:rsidTr="0080672B">
        <w:trPr>
          <w:trHeight w:val="2607"/>
        </w:trPr>
        <w:tc>
          <w:tcPr>
            <w:tcW w:w="2235" w:type="dxa"/>
          </w:tcPr>
          <w:p w:rsidR="00CD3C94" w:rsidRPr="00513D18" w:rsidRDefault="007B50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-37628</wp:posOffset>
                  </wp:positionH>
                  <wp:positionV relativeFrom="paragraph">
                    <wp:posOffset>79963</wp:posOffset>
                  </wp:positionV>
                  <wp:extent cx="1258088" cy="1534076"/>
                  <wp:effectExtent l="1905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03-01-14 at 08.02 PM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brightnessContrast brigh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88" cy="153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  <w:p w:rsidR="00CD3C94" w:rsidRPr="00513D18" w:rsidRDefault="00CD3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213" w:type="dxa"/>
          </w:tcPr>
          <w:p w:rsidR="00CD3C94" w:rsidRPr="007B50A4" w:rsidRDefault="00CD3C94" w:rsidP="009B2828">
            <w:pPr>
              <w:spacing w:before="60" w:after="60" w:line="30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r w:rsidRPr="007B50A4">
              <w:rPr>
                <w:rFonts w:ascii="Garamond" w:hAnsi="Garamond" w:cs="Times New Roman"/>
                <w:sz w:val="20"/>
                <w:szCs w:val="20"/>
              </w:rPr>
              <w:t>Na ilustração à esquerda, é representativo o acto de julgar clássico da Roma antiga, que era praticado, por norma, na zona onde o crime era cometido</w:t>
            </w:r>
            <w:r w:rsidRPr="007B50A4">
              <w:rPr>
                <w:rStyle w:val="Refdenotaderodap"/>
                <w:rFonts w:ascii="Garamond" w:hAnsi="Garamond" w:cs="Times New Roman"/>
                <w:sz w:val="20"/>
                <w:szCs w:val="20"/>
              </w:rPr>
              <w:footnoteReference w:id="1"/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. Realizado em praça pública, acompanhado da mítica balança e fiel representativo do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ius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, o condenado ajoelhava-se perante a imponência daqueles que detinham a titularidade de ditar o Direito. Nos pratos eram depositadas as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acusações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 e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atenuantes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 do delituoso, para que daí resultasse a aplicação do Direito. As vestes a meio corpo usadas pelos que eram julgados, exprimiam a submissão ao dia do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juízo final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. No braço direito, com a sua espada, no julgador afere-se a força da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iustitia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 aplicada pela força. Naquela altura, o Direito era portado e transmitido </w:t>
            </w:r>
            <w:r w:rsidRPr="007B50A4">
              <w:rPr>
                <w:rFonts w:ascii="Garamond" w:hAnsi="Garamond" w:cs="Times New Roman"/>
                <w:i/>
                <w:sz w:val="20"/>
                <w:szCs w:val="20"/>
              </w:rPr>
              <w:t>consuetudinariamente</w:t>
            </w:r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, pois só em 450 aC. </w:t>
            </w:r>
            <w:proofErr w:type="gramStart"/>
            <w:r w:rsidRPr="007B50A4">
              <w:rPr>
                <w:rFonts w:ascii="Garamond" w:hAnsi="Garamond" w:cs="Times New Roman"/>
                <w:sz w:val="20"/>
                <w:szCs w:val="20"/>
              </w:rPr>
              <w:t>é</w:t>
            </w:r>
            <w:proofErr w:type="gramEnd"/>
            <w:r w:rsidRPr="007B50A4">
              <w:rPr>
                <w:rFonts w:ascii="Garamond" w:hAnsi="Garamond" w:cs="Times New Roman"/>
                <w:sz w:val="20"/>
                <w:szCs w:val="20"/>
              </w:rPr>
              <w:t xml:space="preserve"> que se formula o primeiro conjunto de regras escritas.</w:t>
            </w:r>
          </w:p>
        </w:tc>
      </w:tr>
    </w:tbl>
    <w:p w:rsidR="00CD3C94" w:rsidRDefault="00CD3C94">
      <w:pPr>
        <w:rPr>
          <w:rFonts w:ascii="Garamond" w:hAnsi="Garamond"/>
          <w:sz w:val="2"/>
          <w:szCs w:val="20"/>
        </w:rPr>
      </w:pPr>
    </w:p>
    <w:tbl>
      <w:tblPr>
        <w:tblStyle w:val="Tabelacomgrelh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7196"/>
        <w:gridCol w:w="3486"/>
      </w:tblGrid>
      <w:tr w:rsidR="00E878B3" w:rsidRPr="00513D18" w:rsidTr="00E878B3">
        <w:trPr>
          <w:trHeight w:val="2760"/>
        </w:trPr>
        <w:tc>
          <w:tcPr>
            <w:tcW w:w="7196" w:type="dxa"/>
          </w:tcPr>
          <w:p w:rsidR="00E878B3" w:rsidRPr="00513D18" w:rsidRDefault="00E878B3" w:rsidP="009B2828">
            <w:pPr>
              <w:spacing w:before="60" w:after="60" w:line="280" w:lineRule="atLeas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actualidade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e a evolução transversal do Direito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fez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com que se encontrem muitas semelhanças, mas também inúmeras diferenças com a antiguidade. Na ilustração à direita, de um </w:t>
            </w:r>
            <w:r w:rsidRPr="00513D18">
              <w:rPr>
                <w:rFonts w:ascii="Garamond" w:hAnsi="Garamond"/>
                <w:i/>
                <w:sz w:val="20"/>
                <w:szCs w:val="20"/>
              </w:rPr>
              <w:t>palco jurídico</w:t>
            </w:r>
            <w:r>
              <w:rPr>
                <w:rFonts w:ascii="Garamond" w:hAnsi="Garamond"/>
                <w:sz w:val="20"/>
                <w:szCs w:val="20"/>
              </w:rPr>
              <w:t xml:space="preserve"> sul-americano, onde os </w:t>
            </w:r>
            <w:r w:rsidRPr="001B0C22">
              <w:rPr>
                <w:rFonts w:ascii="Garamond" w:hAnsi="Garamond"/>
                <w:i/>
                <w:sz w:val="20"/>
                <w:szCs w:val="20"/>
              </w:rPr>
              <w:t>julgadores</w:t>
            </w:r>
            <w:r>
              <w:rPr>
                <w:rFonts w:ascii="Garamond" w:hAnsi="Garamond"/>
                <w:sz w:val="20"/>
                <w:szCs w:val="20"/>
              </w:rPr>
              <w:t xml:space="preserve"> se encontram à mesma altura dos </w:t>
            </w:r>
            <w:r w:rsidRPr="001B0C22">
              <w:rPr>
                <w:rFonts w:ascii="Garamond" w:hAnsi="Garamond"/>
                <w:i/>
                <w:sz w:val="20"/>
                <w:szCs w:val="20"/>
              </w:rPr>
              <w:t>julgados</w:t>
            </w:r>
            <w:r>
              <w:rPr>
                <w:rFonts w:ascii="Garamond" w:hAnsi="Garamond"/>
                <w:sz w:val="20"/>
                <w:szCs w:val="20"/>
              </w:rPr>
              <w:t xml:space="preserve">, como sinónimo evolutivo da globalização dos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factores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inerentes à dignidade da pessoa humana e sua universalidade. O juiz</w:t>
            </w:r>
            <w:r>
              <w:rPr>
                <w:rStyle w:val="Refdenotaderodap"/>
                <w:rFonts w:ascii="Garamond" w:hAnsi="Garamond"/>
                <w:sz w:val="20"/>
                <w:szCs w:val="20"/>
              </w:rPr>
              <w:footnoteReference w:id="2"/>
            </w:r>
            <w:r>
              <w:rPr>
                <w:rFonts w:ascii="Garamond" w:hAnsi="Garamond"/>
                <w:sz w:val="20"/>
                <w:szCs w:val="20"/>
              </w:rPr>
              <w:t xml:space="preserve">, ao centro, como detentor da aplicabilidade da justiça, tal como nos primórdios, com uma posição de destaque e liderança dos acontecimentos, coadjuvado pelos seus pares. É claramente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perceptível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que as ilustrações referentes à antiguidade não foram abandonadas, ocupando um lugar superior de destaque na configuração do próprio espaço.</w:t>
            </w:r>
          </w:p>
        </w:tc>
        <w:tc>
          <w:tcPr>
            <w:tcW w:w="3486" w:type="dxa"/>
          </w:tcPr>
          <w:p w:rsidR="00E878B3" w:rsidRPr="007B50A4" w:rsidRDefault="00E878B3" w:rsidP="001922F6">
            <w:pPr>
              <w:spacing w:before="120" w:after="120" w:line="30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63154</wp:posOffset>
                  </wp:positionH>
                  <wp:positionV relativeFrom="paragraph">
                    <wp:posOffset>16017</wp:posOffset>
                  </wp:positionV>
                  <wp:extent cx="1945776" cy="1723001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ri no Brasil_materiaMarcos_Rossana Magri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76" cy="172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5A19" w:rsidRDefault="00775A19">
      <w:pPr>
        <w:rPr>
          <w:rFonts w:ascii="Garamond" w:hAnsi="Garamond"/>
          <w:sz w:val="2"/>
          <w:szCs w:val="20"/>
        </w:rPr>
      </w:pPr>
    </w:p>
    <w:tbl>
      <w:tblPr>
        <w:tblStyle w:val="Tabelacomgrelh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802"/>
        <w:gridCol w:w="7880"/>
      </w:tblGrid>
      <w:tr w:rsidR="00775A19" w:rsidRPr="00513D18" w:rsidTr="00775A19">
        <w:trPr>
          <w:trHeight w:val="2150"/>
        </w:trPr>
        <w:tc>
          <w:tcPr>
            <w:tcW w:w="2802" w:type="dxa"/>
          </w:tcPr>
          <w:p w:rsidR="00775A19" w:rsidRPr="00513D18" w:rsidRDefault="00775A19" w:rsidP="001922F6">
            <w:pPr>
              <w:spacing w:before="60" w:after="60" w:line="280" w:lineRule="atLeas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-14957</wp:posOffset>
                  </wp:positionH>
                  <wp:positionV relativeFrom="paragraph">
                    <wp:posOffset>26691</wp:posOffset>
                  </wp:positionV>
                  <wp:extent cx="1658610" cy="130736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03-02-14 at 01.48 AM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10" cy="13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:rsidR="00775A19" w:rsidRPr="007B50A4" w:rsidRDefault="00775A19" w:rsidP="00775A19">
            <w:pPr>
              <w:spacing w:before="60" w:after="60" w:line="32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À esquerda, recorte de imprensa ilustrativo do </w:t>
            </w:r>
            <w:r w:rsidRPr="00E60B97">
              <w:rPr>
                <w:rFonts w:ascii="Garamond" w:hAnsi="Garamond"/>
                <w:i/>
                <w:sz w:val="20"/>
                <w:szCs w:val="20"/>
              </w:rPr>
              <w:t>julgamento despótico nacional</w:t>
            </w:r>
            <w:r>
              <w:rPr>
                <w:rFonts w:ascii="Garamond" w:hAnsi="Garamond"/>
                <w:sz w:val="20"/>
                <w:szCs w:val="20"/>
              </w:rPr>
              <w:t xml:space="preserve">, vivido nas décadas de 40 a 70, liderado pela polícia política do Estado Novo. A visível </w:t>
            </w:r>
            <w:r w:rsidRPr="00E60B97">
              <w:rPr>
                <w:rFonts w:ascii="Garamond" w:hAnsi="Garamond"/>
                <w:i/>
                <w:sz w:val="20"/>
                <w:szCs w:val="20"/>
              </w:rPr>
              <w:t>mordaça</w:t>
            </w:r>
            <w:r>
              <w:rPr>
                <w:rFonts w:ascii="Garamond" w:hAnsi="Garamond"/>
                <w:sz w:val="20"/>
                <w:szCs w:val="20"/>
              </w:rPr>
              <w:t xml:space="preserve"> e </w:t>
            </w:r>
            <w:proofErr w:type="spellStart"/>
            <w:r w:rsidRPr="00E60B97">
              <w:rPr>
                <w:rFonts w:ascii="Garamond" w:hAnsi="Garamond"/>
                <w:i/>
                <w:sz w:val="20"/>
                <w:szCs w:val="20"/>
              </w:rPr>
              <w:t>manietação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do condenado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representa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a impossibilidade de defesa por parte daquele. As funções de repressão sobre o povo e de investigação de crimes eram as suas nucleares funções, de carácter valioso ao regime fascista. Esse preciosismo passava pela neutralização de qualquer oposição ao Estado Novo, independentemente da sua origem.</w:t>
            </w:r>
          </w:p>
        </w:tc>
      </w:tr>
    </w:tbl>
    <w:p w:rsidR="00775A19" w:rsidRDefault="00775A19">
      <w:pPr>
        <w:rPr>
          <w:rFonts w:ascii="Garamond" w:hAnsi="Garamond"/>
          <w:sz w:val="2"/>
          <w:szCs w:val="20"/>
        </w:rPr>
      </w:pPr>
    </w:p>
    <w:tbl>
      <w:tblPr>
        <w:tblStyle w:val="Tabelacomgrelh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778"/>
        <w:gridCol w:w="4904"/>
      </w:tblGrid>
      <w:tr w:rsidR="00254F6B" w:rsidRPr="00513D18" w:rsidTr="00254F6B">
        <w:trPr>
          <w:trHeight w:val="2171"/>
        </w:trPr>
        <w:tc>
          <w:tcPr>
            <w:tcW w:w="5778" w:type="dxa"/>
          </w:tcPr>
          <w:p w:rsidR="00254F6B" w:rsidRDefault="00254F6B" w:rsidP="00254F6B">
            <w:pPr>
              <w:spacing w:before="120" w:after="120" w:line="220" w:lineRule="atLeast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-22514</wp:posOffset>
                  </wp:positionH>
                  <wp:positionV relativeFrom="paragraph">
                    <wp:posOffset>258461</wp:posOffset>
                  </wp:positionV>
                  <wp:extent cx="3562980" cy="1027755"/>
                  <wp:effectExtent l="19050" t="0" r="0" b="0"/>
                  <wp:wrapNone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03-02-14 at 02.30 AM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80" cy="102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59CE">
              <w:rPr>
                <w:rFonts w:ascii="Garamond" w:hAnsi="Garamond"/>
                <w:sz w:val="20"/>
                <w:szCs w:val="20"/>
              </w:rPr>
              <w:t>Ex</w:t>
            </w:r>
            <w:r>
              <w:rPr>
                <w:rFonts w:ascii="Garamond" w:hAnsi="Garamond"/>
                <w:sz w:val="20"/>
                <w:szCs w:val="20"/>
              </w:rPr>
              <w:t>trato do</w:t>
            </w:r>
            <w:r w:rsidRPr="005F59CE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>art.º 8.º, II parte, da Constituição da República Portuguesa de 1933</w:t>
            </w:r>
          </w:p>
          <w:p w:rsidR="00254F6B" w:rsidRPr="00513D18" w:rsidRDefault="00254F6B" w:rsidP="00254F6B">
            <w:pPr>
              <w:spacing w:before="60" w:after="60" w:line="280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04" w:type="dxa"/>
          </w:tcPr>
          <w:p w:rsidR="00254F6B" w:rsidRPr="007B50A4" w:rsidRDefault="00254F6B" w:rsidP="00254F6B">
            <w:pPr>
              <w:spacing w:beforeLines="60" w:afterLines="60" w:line="30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Neste texto constitucional, </w:t>
            </w:r>
            <w:proofErr w:type="spellStart"/>
            <w:r w:rsidRPr="0010690B">
              <w:rPr>
                <w:rFonts w:ascii="Garamond" w:hAnsi="Garamond"/>
                <w:i/>
                <w:sz w:val="20"/>
                <w:szCs w:val="20"/>
              </w:rPr>
              <w:t>anti-democrático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por via de ainda nesta fase Portugal não ter atingido o patamar desse regime, e </w:t>
            </w:r>
            <w:proofErr w:type="spellStart"/>
            <w:r w:rsidRPr="0010690B">
              <w:rPr>
                <w:rFonts w:ascii="Garamond" w:hAnsi="Garamond"/>
                <w:i/>
                <w:sz w:val="20"/>
                <w:szCs w:val="20"/>
              </w:rPr>
              <w:t>anti-liberal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num claro retrocesso ao já vivido nas constituições anteriores, é avassalador o poder do estado sobre os cidadãos e a forma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institucionalizadora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como os governantes fascistas o materializam politicamente.  </w:t>
            </w:r>
          </w:p>
        </w:tc>
      </w:tr>
    </w:tbl>
    <w:p w:rsidR="007B50A4" w:rsidRDefault="007B50A4">
      <w:pPr>
        <w:rPr>
          <w:rFonts w:ascii="Garamond" w:hAnsi="Garamond"/>
          <w:sz w:val="2"/>
          <w:szCs w:val="20"/>
        </w:rPr>
      </w:pPr>
    </w:p>
    <w:tbl>
      <w:tblPr>
        <w:tblStyle w:val="Tabelacomgrelh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070"/>
        <w:gridCol w:w="5612"/>
      </w:tblGrid>
      <w:tr w:rsidR="00AE5C6B" w:rsidRPr="00513D18" w:rsidTr="009B45CE">
        <w:trPr>
          <w:trHeight w:val="2588"/>
        </w:trPr>
        <w:tc>
          <w:tcPr>
            <w:tcW w:w="5070" w:type="dxa"/>
          </w:tcPr>
          <w:p w:rsidR="00AE5C6B" w:rsidRPr="00FD1F91" w:rsidRDefault="00AE5C6B" w:rsidP="00AE5C6B">
            <w:pPr>
              <w:spacing w:before="120" w:after="120" w:line="280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 w:rsidRPr="00FD1F91">
              <w:rPr>
                <w:rFonts w:ascii="Garamond" w:hAnsi="Garamond"/>
                <w:sz w:val="20"/>
                <w:szCs w:val="20"/>
              </w:rPr>
              <w:t xml:space="preserve">Extrato do </w:t>
            </w:r>
            <w:r w:rsidRPr="00FD1F91">
              <w:rPr>
                <w:rFonts w:ascii="Garamond" w:hAnsi="Garamond"/>
                <w:i/>
                <w:sz w:val="20"/>
                <w:szCs w:val="20"/>
              </w:rPr>
              <w:t>Diário da República, I série, n.º 86, de 10 de Abril de 1976, Constituição da República Portuguesa</w:t>
            </w:r>
          </w:p>
          <w:p w:rsidR="00AE5C6B" w:rsidRDefault="009B45CE" w:rsidP="001922F6">
            <w:pPr>
              <w:spacing w:before="120" w:after="120" w:line="220" w:lineRule="atLeast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-30071</wp:posOffset>
                  </wp:positionH>
                  <wp:positionV relativeFrom="paragraph">
                    <wp:posOffset>82251</wp:posOffset>
                  </wp:positionV>
                  <wp:extent cx="3132230" cy="823716"/>
                  <wp:effectExtent l="19050" t="0" r="0" b="0"/>
                  <wp:wrapNone/>
                  <wp:docPr id="11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03-02-14 at 02.14 AM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230" cy="82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5C6B" w:rsidRPr="00513D18" w:rsidRDefault="00AE5C6B" w:rsidP="001922F6">
            <w:pPr>
              <w:spacing w:before="60" w:after="60" w:line="280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12" w:type="dxa"/>
          </w:tcPr>
          <w:p w:rsidR="00AE5C6B" w:rsidRPr="007B50A4" w:rsidRDefault="009B45CE" w:rsidP="009B45CE">
            <w:pPr>
              <w:spacing w:before="60" w:after="60" w:line="24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sociedade portuguesa, após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um  período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de 43 anos de ditadura militar, libertou-se do regime fascista liderado por </w:t>
            </w:r>
            <w:r w:rsidRPr="004871E1">
              <w:rPr>
                <w:rFonts w:ascii="Garamond" w:hAnsi="Garamond"/>
                <w:i/>
                <w:sz w:val="20"/>
                <w:szCs w:val="20"/>
              </w:rPr>
              <w:t>António de Oliveira Salazar (1932/1968)</w:t>
            </w:r>
            <w:r>
              <w:rPr>
                <w:rFonts w:ascii="Garamond" w:hAnsi="Garamond"/>
                <w:sz w:val="20"/>
                <w:szCs w:val="20"/>
              </w:rPr>
              <w:t xml:space="preserve"> e </w:t>
            </w:r>
            <w:r w:rsidRPr="004871E1">
              <w:rPr>
                <w:rFonts w:ascii="Garamond" w:hAnsi="Garamond"/>
                <w:i/>
                <w:sz w:val="20"/>
                <w:szCs w:val="20"/>
              </w:rPr>
              <w:t>Marcello Caetano (1968/1974)</w:t>
            </w:r>
            <w:r>
              <w:rPr>
                <w:rFonts w:ascii="Garamond" w:hAnsi="Garamond"/>
                <w:sz w:val="20"/>
                <w:szCs w:val="20"/>
              </w:rPr>
              <w:t>, por via revolucionária e pela implementação de um texto constitucional reverso ao seu antecessor de 1933, este mais corporativista, privilegiando a posição do estado. Comparativamente à imagem anterior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,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existe uma viragem clara na sociedade, no que concerne aos direitos fundamentais das pessoas e do seu exercício enquanto cidadãos enquadrados num território geograficamente bem definido e perfeitamente soberano.</w:t>
            </w:r>
          </w:p>
        </w:tc>
      </w:tr>
    </w:tbl>
    <w:p w:rsidR="00E03B93" w:rsidRDefault="00E03B93" w:rsidP="009B45CE">
      <w:pPr>
        <w:jc w:val="both"/>
        <w:rPr>
          <w:rFonts w:ascii="Garamond" w:hAnsi="Garamond"/>
          <w:sz w:val="20"/>
          <w:szCs w:val="20"/>
        </w:rPr>
      </w:pPr>
    </w:p>
    <w:sectPr w:rsidR="00E03B93" w:rsidSect="007B50A4">
      <w:pgSz w:w="11906" w:h="16838"/>
      <w:pgMar w:top="720" w:right="720" w:bottom="720" w:left="720" w:header="708" w:footer="7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82" w:rsidRDefault="00627682" w:rsidP="00CD3C94">
      <w:pPr>
        <w:spacing w:after="0" w:line="240" w:lineRule="auto"/>
      </w:pPr>
      <w:r>
        <w:separator/>
      </w:r>
    </w:p>
  </w:endnote>
  <w:endnote w:type="continuationSeparator" w:id="0">
    <w:p w:rsidR="00627682" w:rsidRDefault="00627682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82" w:rsidRDefault="00627682" w:rsidP="00CD3C94">
      <w:pPr>
        <w:spacing w:after="0" w:line="240" w:lineRule="auto"/>
      </w:pPr>
      <w:r>
        <w:separator/>
      </w:r>
    </w:p>
  </w:footnote>
  <w:footnote w:type="continuationSeparator" w:id="0">
    <w:p w:rsidR="00627682" w:rsidRDefault="00627682" w:rsidP="00CD3C94">
      <w:pPr>
        <w:spacing w:after="0" w:line="240" w:lineRule="auto"/>
      </w:pPr>
      <w:r>
        <w:continuationSeparator/>
      </w:r>
    </w:p>
  </w:footnote>
  <w:footnote w:id="1">
    <w:p w:rsidR="00CD3C94" w:rsidRPr="00683ABF" w:rsidRDefault="00CD3C94" w:rsidP="00874FBE">
      <w:pPr>
        <w:pStyle w:val="Textodenotaderodap"/>
        <w:jc w:val="both"/>
        <w:rPr>
          <w:rFonts w:ascii="Garamond" w:hAnsi="Garamond"/>
          <w:sz w:val="16"/>
          <w:szCs w:val="16"/>
        </w:rPr>
      </w:pPr>
      <w:r w:rsidRPr="00683ABF">
        <w:rPr>
          <w:rStyle w:val="Refdenotaderodap"/>
          <w:rFonts w:ascii="Garamond" w:hAnsi="Garamond"/>
          <w:sz w:val="16"/>
          <w:szCs w:val="16"/>
        </w:rPr>
        <w:footnoteRef/>
      </w:r>
      <w:r w:rsidRPr="00683ABF">
        <w:rPr>
          <w:rFonts w:ascii="Garamond" w:hAnsi="Garamond"/>
          <w:sz w:val="16"/>
          <w:szCs w:val="16"/>
        </w:rPr>
        <w:t xml:space="preserve"> Ainda hoje, nos termos da ordem jurídica nacional, regra geral assim </w:t>
      </w:r>
      <w:r w:rsidR="004F0BF4">
        <w:rPr>
          <w:rFonts w:ascii="Garamond" w:hAnsi="Garamond"/>
          <w:sz w:val="16"/>
          <w:szCs w:val="16"/>
        </w:rPr>
        <w:t>se encontra legalmente estabelecido</w:t>
      </w:r>
      <w:r w:rsidRPr="00683ABF">
        <w:rPr>
          <w:rFonts w:ascii="Garamond" w:hAnsi="Garamond"/>
          <w:sz w:val="16"/>
          <w:szCs w:val="16"/>
        </w:rPr>
        <w:t xml:space="preserve"> (</w:t>
      </w:r>
      <w:r w:rsidRPr="00683ABF">
        <w:rPr>
          <w:rFonts w:ascii="Garamond" w:hAnsi="Garamond"/>
          <w:i/>
          <w:sz w:val="16"/>
          <w:szCs w:val="16"/>
        </w:rPr>
        <w:t>v.g. art.º 19.º do Código de Processo Penal Português</w:t>
      </w:r>
      <w:r w:rsidRPr="00683ABF">
        <w:rPr>
          <w:rFonts w:ascii="Garamond" w:hAnsi="Garamond"/>
          <w:sz w:val="16"/>
          <w:szCs w:val="16"/>
        </w:rPr>
        <w:t>).</w:t>
      </w:r>
    </w:p>
  </w:footnote>
  <w:footnote w:id="2">
    <w:p w:rsidR="00E878B3" w:rsidRPr="00683ABF" w:rsidRDefault="00E878B3" w:rsidP="00E878B3">
      <w:pPr>
        <w:pStyle w:val="Textodenotaderodap"/>
        <w:jc w:val="both"/>
        <w:rPr>
          <w:rFonts w:ascii="Garamond" w:hAnsi="Garamond"/>
          <w:sz w:val="16"/>
          <w:szCs w:val="16"/>
        </w:rPr>
      </w:pPr>
      <w:r w:rsidRPr="00683ABF">
        <w:rPr>
          <w:rStyle w:val="Refdenotaderodap"/>
          <w:rFonts w:ascii="Garamond" w:hAnsi="Garamond"/>
          <w:sz w:val="16"/>
          <w:szCs w:val="16"/>
        </w:rPr>
        <w:footnoteRef/>
      </w:r>
      <w:r w:rsidRPr="00683ABF">
        <w:rPr>
          <w:rFonts w:ascii="Garamond" w:hAnsi="Garamond"/>
          <w:sz w:val="16"/>
          <w:szCs w:val="16"/>
        </w:rPr>
        <w:t xml:space="preserve"> Contra</w:t>
      </w:r>
      <w:r>
        <w:rPr>
          <w:rFonts w:ascii="Garamond" w:hAnsi="Garamond"/>
          <w:sz w:val="16"/>
          <w:szCs w:val="16"/>
        </w:rPr>
        <w:t>riamente ao antigamente, neste caso, a aplicação do Direito surge por via da Constituição do Estado e do ordenamento jurídico existente em cada um.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3C94"/>
    <w:rsid w:val="00053B6C"/>
    <w:rsid w:val="000C38FD"/>
    <w:rsid w:val="0010690B"/>
    <w:rsid w:val="00132BEE"/>
    <w:rsid w:val="001B0C22"/>
    <w:rsid w:val="001F6B7E"/>
    <w:rsid w:val="00241FC9"/>
    <w:rsid w:val="00254F6B"/>
    <w:rsid w:val="00337C6E"/>
    <w:rsid w:val="003C7429"/>
    <w:rsid w:val="004871E1"/>
    <w:rsid w:val="00491C88"/>
    <w:rsid w:val="004F0BF4"/>
    <w:rsid w:val="0051090C"/>
    <w:rsid w:val="00513D18"/>
    <w:rsid w:val="00555ED5"/>
    <w:rsid w:val="00580E48"/>
    <w:rsid w:val="005B32D2"/>
    <w:rsid w:val="005F59CE"/>
    <w:rsid w:val="00627682"/>
    <w:rsid w:val="00683ABF"/>
    <w:rsid w:val="007009BF"/>
    <w:rsid w:val="00775A19"/>
    <w:rsid w:val="007B50A4"/>
    <w:rsid w:val="0080672B"/>
    <w:rsid w:val="00874FBE"/>
    <w:rsid w:val="008902DE"/>
    <w:rsid w:val="008A006F"/>
    <w:rsid w:val="008F7548"/>
    <w:rsid w:val="00921F7F"/>
    <w:rsid w:val="0095383F"/>
    <w:rsid w:val="009B2828"/>
    <w:rsid w:val="009B45CE"/>
    <w:rsid w:val="00A8675E"/>
    <w:rsid w:val="00A910BB"/>
    <w:rsid w:val="00A9643E"/>
    <w:rsid w:val="00AA7C1D"/>
    <w:rsid w:val="00AD3D70"/>
    <w:rsid w:val="00AE5C6B"/>
    <w:rsid w:val="00B671E5"/>
    <w:rsid w:val="00C01AD7"/>
    <w:rsid w:val="00C1597F"/>
    <w:rsid w:val="00CD3C94"/>
    <w:rsid w:val="00D66A24"/>
    <w:rsid w:val="00DA6E69"/>
    <w:rsid w:val="00E03B93"/>
    <w:rsid w:val="00E552DE"/>
    <w:rsid w:val="00E60B97"/>
    <w:rsid w:val="00E878B3"/>
    <w:rsid w:val="00ED7D29"/>
    <w:rsid w:val="00EF4DA7"/>
    <w:rsid w:val="00F962B5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07B0-1316-45D8-ACC4-651752F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paragon</cp:lastModifiedBy>
  <cp:revision>14</cp:revision>
  <dcterms:created xsi:type="dcterms:W3CDTF">2014-03-06T07:15:00Z</dcterms:created>
  <dcterms:modified xsi:type="dcterms:W3CDTF">2014-03-06T07:38:00Z</dcterms:modified>
</cp:coreProperties>
</file>