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8F" w:rsidRDefault="000C684F" w:rsidP="000C684F">
      <w:pPr>
        <w:jc w:val="center"/>
        <w:rPr>
          <w:rFonts w:ascii="Garamond" w:hAnsi="Garamond"/>
          <w:b/>
          <w:smallCaps/>
          <w:sz w:val="28"/>
          <w:szCs w:val="28"/>
        </w:rPr>
      </w:pPr>
      <w:r w:rsidRPr="000C684F">
        <w:rPr>
          <w:rFonts w:ascii="Garamond" w:hAnsi="Garamond"/>
          <w:b/>
          <w:smallCaps/>
          <w:sz w:val="28"/>
          <w:szCs w:val="28"/>
        </w:rPr>
        <w:t>Inferência lógica de normas/Interpretação enunciativa</w:t>
      </w:r>
    </w:p>
    <w:p w:rsidR="000C684F" w:rsidRDefault="000C684F" w:rsidP="000C684F">
      <w:pPr>
        <w:jc w:val="center"/>
        <w:rPr>
          <w:rFonts w:ascii="Garamond" w:hAnsi="Garamond"/>
          <w:smallCaps/>
          <w:sz w:val="20"/>
          <w:szCs w:val="20"/>
        </w:rPr>
      </w:pPr>
      <w:r w:rsidRPr="000C684F">
        <w:rPr>
          <w:rFonts w:ascii="Garamond" w:hAnsi="Garamond"/>
          <w:smallCaps/>
          <w:sz w:val="20"/>
          <w:szCs w:val="20"/>
        </w:rPr>
        <w:t>(</w:t>
      </w:r>
      <w:r w:rsidRPr="000C684F">
        <w:rPr>
          <w:rFonts w:ascii="Garamond" w:hAnsi="Garamond"/>
          <w:sz w:val="20"/>
          <w:szCs w:val="20"/>
        </w:rPr>
        <w:t>cfr.</w:t>
      </w:r>
      <w:r w:rsidRPr="000C684F">
        <w:rPr>
          <w:rFonts w:ascii="Garamond" w:hAnsi="Garamond"/>
          <w:smallCaps/>
          <w:sz w:val="20"/>
          <w:szCs w:val="20"/>
        </w:rPr>
        <w:t xml:space="preserve"> </w:t>
      </w:r>
      <w:r w:rsidR="00140711">
        <w:rPr>
          <w:rFonts w:ascii="Garamond" w:hAnsi="Garamond"/>
          <w:smallCaps/>
          <w:sz w:val="20"/>
          <w:szCs w:val="20"/>
        </w:rPr>
        <w:t xml:space="preserve">Miguel </w:t>
      </w:r>
      <w:r w:rsidRPr="000C684F">
        <w:rPr>
          <w:rFonts w:ascii="Garamond" w:hAnsi="Garamond"/>
          <w:smallCaps/>
          <w:sz w:val="20"/>
          <w:szCs w:val="20"/>
        </w:rPr>
        <w:t xml:space="preserve">Teixeira de Sousa, </w:t>
      </w:r>
      <w:r w:rsidRPr="000C684F">
        <w:rPr>
          <w:rFonts w:ascii="Garamond" w:hAnsi="Garamond"/>
          <w:i/>
          <w:sz w:val="20"/>
          <w:szCs w:val="20"/>
        </w:rPr>
        <w:t>Introdução ao Direito</w:t>
      </w:r>
      <w:r w:rsidRPr="000C684F">
        <w:rPr>
          <w:rFonts w:ascii="Garamond" w:hAnsi="Garamond"/>
          <w:sz w:val="20"/>
          <w:szCs w:val="20"/>
        </w:rPr>
        <w:t xml:space="preserve">, Almedina, Coimbra, 2012, pp. </w:t>
      </w:r>
      <w:r w:rsidR="003D1281">
        <w:rPr>
          <w:rFonts w:ascii="Garamond" w:hAnsi="Garamond"/>
          <w:sz w:val="20"/>
          <w:szCs w:val="20"/>
        </w:rPr>
        <w:t>435</w:t>
      </w:r>
      <w:r w:rsidR="005A5BBD">
        <w:rPr>
          <w:rFonts w:ascii="Garamond" w:hAnsi="Garamond"/>
          <w:sz w:val="20"/>
          <w:szCs w:val="20"/>
        </w:rPr>
        <w:t xml:space="preserve"> </w:t>
      </w:r>
      <w:r w:rsidRPr="000C684F">
        <w:rPr>
          <w:rFonts w:ascii="Garamond" w:hAnsi="Garamond"/>
          <w:sz w:val="20"/>
          <w:szCs w:val="20"/>
        </w:rPr>
        <w:t xml:space="preserve">a </w:t>
      </w:r>
      <w:r w:rsidR="005A5BBD">
        <w:rPr>
          <w:rFonts w:ascii="Garamond" w:hAnsi="Garamond"/>
          <w:sz w:val="20"/>
          <w:szCs w:val="20"/>
        </w:rPr>
        <w:t>443</w:t>
      </w:r>
      <w:r w:rsidRPr="000C684F">
        <w:rPr>
          <w:rFonts w:ascii="Garamond" w:hAnsi="Garamond"/>
          <w:sz w:val="20"/>
          <w:szCs w:val="20"/>
        </w:rPr>
        <w:t>)</w:t>
      </w:r>
    </w:p>
    <w:p w:rsidR="00456C97" w:rsidRDefault="00456C97" w:rsidP="005A5BBD">
      <w:pPr>
        <w:pStyle w:val="PargrafodaLista"/>
        <w:ind w:left="426"/>
        <w:jc w:val="both"/>
        <w:rPr>
          <w:rFonts w:ascii="Garamond" w:hAnsi="Garamond"/>
          <w:b/>
          <w:smallCaps/>
          <w:sz w:val="20"/>
          <w:szCs w:val="20"/>
        </w:rPr>
      </w:pPr>
    </w:p>
    <w:p w:rsidR="00456C97" w:rsidRDefault="00456C97" w:rsidP="00456C97">
      <w:pPr>
        <w:pStyle w:val="PargrafodaLista"/>
        <w:numPr>
          <w:ilvl w:val="1"/>
          <w:numId w:val="2"/>
        </w:numPr>
        <w:spacing w:after="0"/>
        <w:ind w:left="567" w:hanging="567"/>
        <w:contextualSpacing w:val="0"/>
        <w:jc w:val="both"/>
        <w:rPr>
          <w:rFonts w:ascii="Garamond" w:hAnsi="Garamond"/>
          <w:b/>
          <w:smallCaps/>
          <w:sz w:val="24"/>
          <w:szCs w:val="24"/>
        </w:rPr>
      </w:pPr>
      <w:r>
        <w:rPr>
          <w:rFonts w:ascii="Garamond" w:hAnsi="Garamond"/>
          <w:b/>
          <w:smallCaps/>
          <w:sz w:val="24"/>
          <w:szCs w:val="24"/>
        </w:rPr>
        <w:t>Aspectos genéricos</w:t>
      </w:r>
    </w:p>
    <w:p w:rsidR="00456C97" w:rsidRPr="00456C97" w:rsidRDefault="00456C97" w:rsidP="00456C97">
      <w:pPr>
        <w:pStyle w:val="PargrafodaLista"/>
        <w:spacing w:before="120" w:after="0"/>
        <w:ind w:left="0" w:firstLine="567"/>
        <w:contextualSpacing w:val="0"/>
        <w:jc w:val="both"/>
        <w:rPr>
          <w:rFonts w:ascii="Garamond" w:hAnsi="Garamond"/>
          <w:sz w:val="24"/>
          <w:szCs w:val="24"/>
        </w:rPr>
      </w:pPr>
      <w:r w:rsidRPr="00456C97">
        <w:rPr>
          <w:rFonts w:ascii="Garamond" w:hAnsi="Garamond"/>
          <w:sz w:val="24"/>
          <w:szCs w:val="24"/>
        </w:rPr>
        <w:t xml:space="preserve">De acordo com </w:t>
      </w:r>
      <w:r w:rsidRPr="00456C97">
        <w:rPr>
          <w:rFonts w:ascii="Garamond" w:hAnsi="Garamond"/>
          <w:smallCaps/>
          <w:sz w:val="24"/>
          <w:szCs w:val="24"/>
        </w:rPr>
        <w:t>Oliveira Ascensão</w:t>
      </w:r>
      <w:r w:rsidRPr="00456C97">
        <w:rPr>
          <w:rFonts w:ascii="Garamond" w:hAnsi="Garamond"/>
          <w:sz w:val="24"/>
          <w:szCs w:val="24"/>
        </w:rPr>
        <w:t>, na interpretação enunciativa não existe interpretação em sentido técnico porque não se trabalha com uma fonte com o intuito de extrairmos dela uma norma</w:t>
      </w:r>
      <w:r w:rsidR="00F765E9">
        <w:rPr>
          <w:rFonts w:ascii="Garamond" w:hAnsi="Garamond"/>
          <w:sz w:val="24"/>
          <w:szCs w:val="24"/>
        </w:rPr>
        <w:t>. Ainda assim, recorre-se ao termo interpretação num sentido amplo que pode também abranger a inferência lógica de normas</w:t>
      </w:r>
      <w:r w:rsidRPr="00456C97">
        <w:rPr>
          <w:rFonts w:ascii="Garamond" w:hAnsi="Garamond"/>
          <w:sz w:val="24"/>
          <w:szCs w:val="24"/>
        </w:rPr>
        <w:t>. Pelo contrário, a interpretação enunciativa pressuporia a prévia determinação de uma regra</w:t>
      </w:r>
      <w:r w:rsidR="00956C93">
        <w:rPr>
          <w:rFonts w:ascii="Garamond" w:hAnsi="Garamond"/>
          <w:sz w:val="24"/>
          <w:szCs w:val="24"/>
        </w:rPr>
        <w:t>,</w:t>
      </w:r>
      <w:r w:rsidRPr="00456C97">
        <w:rPr>
          <w:rFonts w:ascii="Garamond" w:hAnsi="Garamond"/>
          <w:sz w:val="24"/>
          <w:szCs w:val="24"/>
        </w:rPr>
        <w:t xml:space="preserve"> a partir da qual se conseguiria determinar uma outra naquela implícita</w:t>
      </w:r>
      <w:r>
        <w:rPr>
          <w:rStyle w:val="Refdenotaderodap"/>
          <w:rFonts w:ascii="Garamond" w:hAnsi="Garamond"/>
          <w:sz w:val="24"/>
          <w:szCs w:val="24"/>
        </w:rPr>
        <w:footnoteReference w:id="2"/>
      </w:r>
      <w:r w:rsidRPr="00456C97">
        <w:rPr>
          <w:rFonts w:ascii="Garamond" w:hAnsi="Garamond"/>
          <w:sz w:val="24"/>
          <w:szCs w:val="24"/>
        </w:rPr>
        <w:t xml:space="preserve">. </w:t>
      </w:r>
    </w:p>
    <w:p w:rsidR="00456C97" w:rsidRPr="00456C97" w:rsidRDefault="00456C97" w:rsidP="00456C97">
      <w:pPr>
        <w:pStyle w:val="PargrafodaLista"/>
        <w:ind w:left="0" w:firstLine="567"/>
        <w:jc w:val="both"/>
        <w:rPr>
          <w:rFonts w:ascii="Garamond" w:hAnsi="Garamond"/>
          <w:sz w:val="24"/>
          <w:szCs w:val="24"/>
        </w:rPr>
      </w:pPr>
      <w:r w:rsidRPr="00456C97">
        <w:rPr>
          <w:rFonts w:ascii="Garamond" w:hAnsi="Garamond"/>
          <w:sz w:val="24"/>
          <w:szCs w:val="24"/>
        </w:rPr>
        <w:t xml:space="preserve">O que seria próprio desta interpretação seria o recurso a </w:t>
      </w:r>
      <w:r w:rsidRPr="00456C97">
        <w:rPr>
          <w:rFonts w:ascii="Garamond" w:hAnsi="Garamond"/>
          <w:i/>
          <w:sz w:val="24"/>
          <w:szCs w:val="24"/>
          <w:u w:val="single"/>
        </w:rPr>
        <w:t>processos lógicos</w:t>
      </w:r>
      <w:r w:rsidRPr="00456C97">
        <w:rPr>
          <w:rFonts w:ascii="Garamond" w:hAnsi="Garamond"/>
          <w:sz w:val="24"/>
          <w:szCs w:val="24"/>
        </w:rPr>
        <w:t xml:space="preserve"> </w:t>
      </w:r>
      <w:r w:rsidR="007330C1">
        <w:rPr>
          <w:rFonts w:ascii="Garamond" w:hAnsi="Garamond"/>
          <w:sz w:val="24"/>
          <w:szCs w:val="24"/>
        </w:rPr>
        <w:t xml:space="preserve">(ou </w:t>
      </w:r>
      <w:r w:rsidR="007330C1" w:rsidRPr="007330C1">
        <w:rPr>
          <w:rFonts w:ascii="Garamond" w:hAnsi="Garamond"/>
          <w:i/>
          <w:sz w:val="24"/>
          <w:szCs w:val="24"/>
        </w:rPr>
        <w:t>argumentos lógicos</w:t>
      </w:r>
      <w:r w:rsidR="007330C1">
        <w:rPr>
          <w:rFonts w:ascii="Garamond" w:hAnsi="Garamond"/>
          <w:sz w:val="24"/>
          <w:szCs w:val="24"/>
        </w:rPr>
        <w:t xml:space="preserve">) </w:t>
      </w:r>
      <w:r w:rsidRPr="00456C97">
        <w:rPr>
          <w:rFonts w:ascii="Garamond" w:hAnsi="Garamond"/>
          <w:sz w:val="24"/>
          <w:szCs w:val="24"/>
        </w:rPr>
        <w:t xml:space="preserve">para a inferência das normas implícitas. De qualquer forma, para que se possa falar de interpretação enunciativa </w:t>
      </w:r>
      <w:r w:rsidRPr="00456C97">
        <w:rPr>
          <w:rFonts w:ascii="Garamond" w:hAnsi="Garamond"/>
          <w:sz w:val="24"/>
          <w:szCs w:val="24"/>
          <w:u w:val="single"/>
        </w:rPr>
        <w:t>devemos ter como resultado uma nova regra</w:t>
      </w:r>
      <w:r w:rsidRPr="00456C97">
        <w:rPr>
          <w:rFonts w:ascii="Garamond" w:hAnsi="Garamond"/>
          <w:sz w:val="24"/>
          <w:szCs w:val="24"/>
        </w:rPr>
        <w:t xml:space="preserve"> e não uma mera especificação de uma regra anterior</w:t>
      </w:r>
      <w:r w:rsidR="00956C93">
        <w:rPr>
          <w:rStyle w:val="Refdenotaderodap"/>
          <w:rFonts w:ascii="Garamond" w:hAnsi="Garamond"/>
          <w:sz w:val="24"/>
          <w:szCs w:val="24"/>
        </w:rPr>
        <w:footnoteReference w:id="3"/>
      </w:r>
      <w:r w:rsidRPr="00456C97">
        <w:rPr>
          <w:rFonts w:ascii="Garamond" w:hAnsi="Garamond"/>
          <w:smallCaps/>
          <w:sz w:val="24"/>
          <w:szCs w:val="24"/>
        </w:rPr>
        <w:t>.</w:t>
      </w:r>
    </w:p>
    <w:p w:rsidR="00456C97" w:rsidRDefault="00456C97" w:rsidP="00456C97">
      <w:pPr>
        <w:pStyle w:val="PargrafodaLista"/>
        <w:ind w:left="567"/>
        <w:jc w:val="both"/>
        <w:rPr>
          <w:rFonts w:ascii="Garamond" w:hAnsi="Garamond"/>
          <w:b/>
          <w:smallCaps/>
          <w:sz w:val="24"/>
          <w:szCs w:val="24"/>
        </w:rPr>
      </w:pPr>
    </w:p>
    <w:p w:rsidR="00456C97" w:rsidRDefault="00956C93" w:rsidP="003D1281">
      <w:pPr>
        <w:pStyle w:val="PargrafodaLista"/>
        <w:spacing w:after="120"/>
        <w:ind w:left="0" w:firstLine="567"/>
        <w:contextualSpacing w:val="0"/>
        <w:jc w:val="both"/>
        <w:rPr>
          <w:rFonts w:ascii="Garamond" w:hAnsi="Garamond"/>
          <w:sz w:val="24"/>
          <w:szCs w:val="24"/>
        </w:rPr>
      </w:pPr>
      <w:r w:rsidRPr="00956C93">
        <w:rPr>
          <w:rFonts w:ascii="Garamond" w:hAnsi="Garamond"/>
          <w:sz w:val="24"/>
          <w:szCs w:val="24"/>
        </w:rPr>
        <w:t>Note-se que para chegarmos às normas que se encontram implícitas, recorremos a argumentos, que são meios de «fundamentação da relação entre uma premissa e uma conclusão, ou seja, é algo que permite transferir a aceitabilidade de uma premissa para uma conclusão»</w:t>
      </w:r>
      <w:r w:rsidR="003D1281">
        <w:rPr>
          <w:rStyle w:val="Refdenotaderodap"/>
          <w:rFonts w:ascii="Garamond" w:hAnsi="Garamond"/>
          <w:sz w:val="24"/>
          <w:szCs w:val="24"/>
        </w:rPr>
        <w:footnoteReference w:id="4"/>
      </w:r>
      <w:r w:rsidRPr="00956C93">
        <w:rPr>
          <w:rFonts w:ascii="Garamond" w:hAnsi="Garamond"/>
          <w:sz w:val="24"/>
          <w:szCs w:val="24"/>
        </w:rPr>
        <w:t>.</w:t>
      </w:r>
    </w:p>
    <w:p w:rsidR="00956C93" w:rsidRPr="00956C93" w:rsidRDefault="00956C93" w:rsidP="00956C93">
      <w:pPr>
        <w:pStyle w:val="PargrafodaLista"/>
        <w:ind w:left="0" w:firstLine="567"/>
        <w:jc w:val="both"/>
        <w:rPr>
          <w:rFonts w:ascii="Garamond" w:hAnsi="Garamond"/>
          <w:sz w:val="24"/>
          <w:szCs w:val="24"/>
        </w:rPr>
      </w:pPr>
      <w:r w:rsidRPr="00956C93">
        <w:rPr>
          <w:rFonts w:ascii="Garamond" w:hAnsi="Garamond"/>
          <w:b/>
          <w:sz w:val="24"/>
          <w:szCs w:val="24"/>
        </w:rPr>
        <w:t>Premissa P</w:t>
      </w:r>
      <w:r w:rsidRPr="00956C93">
        <w:rPr>
          <w:rFonts w:ascii="Garamond" w:hAnsi="Garamond"/>
          <w:sz w:val="24"/>
          <w:szCs w:val="24"/>
        </w:rPr>
        <w:t xml:space="preserve"> ---------------------------------------------------------------» </w:t>
      </w:r>
      <w:r w:rsidRPr="00956C93">
        <w:rPr>
          <w:rFonts w:ascii="Garamond" w:hAnsi="Garamond"/>
          <w:b/>
          <w:sz w:val="24"/>
          <w:szCs w:val="24"/>
        </w:rPr>
        <w:t>Conclusão C</w:t>
      </w:r>
    </w:p>
    <w:p w:rsidR="00456C97" w:rsidRPr="00956C93" w:rsidRDefault="00956C93" w:rsidP="00956C93">
      <w:pPr>
        <w:pStyle w:val="PargrafodaLista"/>
        <w:ind w:left="567"/>
        <w:jc w:val="center"/>
        <w:rPr>
          <w:rFonts w:ascii="Garamond" w:hAnsi="Garamond"/>
          <w:b/>
          <w:sz w:val="24"/>
          <w:szCs w:val="24"/>
        </w:rPr>
      </w:pPr>
      <w:r w:rsidRPr="00956C93">
        <w:rPr>
          <w:rFonts w:ascii="Garamond" w:hAnsi="Garamond"/>
          <w:b/>
          <w:sz w:val="24"/>
          <w:szCs w:val="24"/>
        </w:rPr>
        <w:t>↑</w:t>
      </w:r>
    </w:p>
    <w:p w:rsidR="003D1281" w:rsidRPr="003D1281" w:rsidRDefault="00956C93" w:rsidP="003D1281">
      <w:pPr>
        <w:pStyle w:val="PargrafodaLista"/>
        <w:ind w:left="567"/>
        <w:jc w:val="center"/>
        <w:rPr>
          <w:rFonts w:ascii="Garamond" w:hAnsi="Garamond"/>
          <w:b/>
          <w:sz w:val="24"/>
          <w:szCs w:val="24"/>
        </w:rPr>
      </w:pPr>
      <w:r w:rsidRPr="00956C93">
        <w:rPr>
          <w:rFonts w:ascii="Garamond" w:hAnsi="Garamond"/>
          <w:b/>
          <w:sz w:val="24"/>
          <w:szCs w:val="24"/>
        </w:rPr>
        <w:t>Argumento A</w:t>
      </w:r>
    </w:p>
    <w:p w:rsidR="003D1281" w:rsidRDefault="003D1281" w:rsidP="003D1281">
      <w:pPr>
        <w:pStyle w:val="PargrafodaLista"/>
        <w:ind w:left="567"/>
        <w:rPr>
          <w:rFonts w:ascii="Garamond" w:hAnsi="Garamond"/>
          <w:b/>
          <w:sz w:val="24"/>
          <w:szCs w:val="24"/>
        </w:rPr>
      </w:pPr>
    </w:p>
    <w:p w:rsidR="00956C93" w:rsidRPr="00956C93" w:rsidRDefault="00956C93" w:rsidP="00956C93">
      <w:pPr>
        <w:pStyle w:val="PargrafodaLista"/>
        <w:ind w:left="567"/>
        <w:jc w:val="center"/>
        <w:rPr>
          <w:rFonts w:ascii="Garamond" w:hAnsi="Garamond"/>
          <w:b/>
          <w:sz w:val="24"/>
          <w:szCs w:val="24"/>
        </w:rPr>
      </w:pPr>
    </w:p>
    <w:p w:rsidR="000C684F" w:rsidRPr="002327A4" w:rsidRDefault="000C684F" w:rsidP="00140711">
      <w:pPr>
        <w:pStyle w:val="PargrafodaLista"/>
        <w:numPr>
          <w:ilvl w:val="1"/>
          <w:numId w:val="2"/>
        </w:numPr>
        <w:ind w:left="567" w:hanging="567"/>
        <w:jc w:val="both"/>
        <w:rPr>
          <w:rFonts w:ascii="Garamond" w:hAnsi="Garamond"/>
          <w:b/>
          <w:smallCaps/>
          <w:sz w:val="24"/>
          <w:szCs w:val="24"/>
        </w:rPr>
      </w:pPr>
      <w:r w:rsidRPr="002327A4">
        <w:rPr>
          <w:rFonts w:ascii="Garamond" w:hAnsi="Garamond"/>
          <w:b/>
          <w:smallCaps/>
          <w:sz w:val="24"/>
          <w:szCs w:val="24"/>
        </w:rPr>
        <w:t xml:space="preserve">Argumento </w:t>
      </w:r>
      <w:r w:rsidRPr="002327A4">
        <w:rPr>
          <w:rFonts w:ascii="Garamond" w:hAnsi="Garamond"/>
          <w:b/>
          <w:i/>
          <w:smallCaps/>
          <w:sz w:val="24"/>
          <w:szCs w:val="24"/>
        </w:rPr>
        <w:t xml:space="preserve">a fortiori </w:t>
      </w:r>
      <w:r w:rsidRPr="002327A4">
        <w:rPr>
          <w:rFonts w:ascii="Garamond" w:hAnsi="Garamond"/>
          <w:b/>
          <w:smallCaps/>
          <w:sz w:val="24"/>
          <w:szCs w:val="24"/>
        </w:rPr>
        <w:t>(argumento por maioria de razão)</w:t>
      </w:r>
    </w:p>
    <w:p w:rsidR="000C684F" w:rsidRPr="002327A4" w:rsidRDefault="000C684F" w:rsidP="000C684F">
      <w:pPr>
        <w:pStyle w:val="PargrafodaLista"/>
        <w:ind w:left="426"/>
        <w:jc w:val="both"/>
        <w:rPr>
          <w:rFonts w:ascii="Garamond" w:hAnsi="Garamond"/>
          <w:b/>
          <w:sz w:val="24"/>
          <w:szCs w:val="24"/>
        </w:rPr>
      </w:pPr>
    </w:p>
    <w:p w:rsidR="000C684F" w:rsidRPr="0074553F" w:rsidRDefault="000C684F" w:rsidP="00140711">
      <w:pPr>
        <w:pStyle w:val="PargrafodaLista"/>
        <w:numPr>
          <w:ilvl w:val="1"/>
          <w:numId w:val="3"/>
        </w:numPr>
        <w:ind w:left="993" w:hanging="426"/>
        <w:jc w:val="both"/>
        <w:rPr>
          <w:rFonts w:ascii="Garamond" w:hAnsi="Garamond"/>
          <w:b/>
          <w:smallCaps/>
          <w:sz w:val="24"/>
          <w:szCs w:val="24"/>
        </w:rPr>
      </w:pPr>
      <w:r w:rsidRPr="0074553F">
        <w:rPr>
          <w:rFonts w:ascii="Garamond" w:hAnsi="Garamond"/>
          <w:b/>
          <w:smallCaps/>
          <w:sz w:val="24"/>
          <w:szCs w:val="24"/>
        </w:rPr>
        <w:t xml:space="preserve">Argumento </w:t>
      </w:r>
      <w:r w:rsidRPr="0074553F">
        <w:rPr>
          <w:rFonts w:ascii="Garamond" w:hAnsi="Garamond"/>
          <w:b/>
          <w:i/>
          <w:smallCaps/>
          <w:sz w:val="24"/>
          <w:szCs w:val="24"/>
        </w:rPr>
        <w:t>a maiori ad minus</w:t>
      </w:r>
      <w:r w:rsidR="000A744F" w:rsidRPr="0074553F">
        <w:rPr>
          <w:rFonts w:ascii="Garamond" w:hAnsi="Garamond"/>
          <w:b/>
          <w:i/>
          <w:smallCaps/>
          <w:sz w:val="24"/>
          <w:szCs w:val="24"/>
        </w:rPr>
        <w:t xml:space="preserve"> </w:t>
      </w:r>
    </w:p>
    <w:p w:rsidR="00B27B13" w:rsidRPr="002327A4" w:rsidRDefault="00B27B13" w:rsidP="00B27B13">
      <w:pPr>
        <w:pStyle w:val="PargrafodaLista"/>
        <w:ind w:left="786"/>
        <w:jc w:val="both"/>
        <w:rPr>
          <w:rFonts w:ascii="Garamond" w:hAnsi="Garamond"/>
          <w:b/>
          <w:sz w:val="24"/>
          <w:szCs w:val="24"/>
        </w:rPr>
      </w:pPr>
    </w:p>
    <w:p w:rsidR="00B27B13" w:rsidRPr="002327A4" w:rsidRDefault="00B27B13" w:rsidP="00140711">
      <w:pPr>
        <w:pStyle w:val="PargrafodaLista"/>
        <w:numPr>
          <w:ilvl w:val="0"/>
          <w:numId w:val="5"/>
        </w:numPr>
        <w:ind w:left="1418" w:hanging="425"/>
        <w:jc w:val="both"/>
        <w:rPr>
          <w:rFonts w:ascii="Garamond" w:hAnsi="Garamond"/>
          <w:sz w:val="24"/>
          <w:szCs w:val="24"/>
        </w:rPr>
      </w:pPr>
      <w:r w:rsidRPr="002327A4">
        <w:rPr>
          <w:rFonts w:ascii="Garamond" w:hAnsi="Garamond"/>
          <w:b/>
          <w:sz w:val="24"/>
          <w:szCs w:val="24"/>
        </w:rPr>
        <w:t xml:space="preserve">Previsão – </w:t>
      </w:r>
      <w:r w:rsidR="00117EFF" w:rsidRPr="002327A4">
        <w:rPr>
          <w:rFonts w:ascii="Garamond" w:hAnsi="Garamond"/>
          <w:sz w:val="24"/>
          <w:szCs w:val="24"/>
          <w:u w:val="single"/>
        </w:rPr>
        <w:t>s</w:t>
      </w:r>
      <w:r w:rsidRPr="002327A4">
        <w:rPr>
          <w:rFonts w:ascii="Garamond" w:hAnsi="Garamond"/>
          <w:sz w:val="24"/>
          <w:szCs w:val="24"/>
          <w:u w:val="single"/>
        </w:rPr>
        <w:t>e o mais não produz certo efeito jurídico, o menos também não o produz</w:t>
      </w:r>
      <w:r w:rsidRPr="002327A4">
        <w:rPr>
          <w:rFonts w:ascii="Garamond" w:hAnsi="Garamond"/>
          <w:sz w:val="24"/>
          <w:szCs w:val="24"/>
        </w:rPr>
        <w:t>.</w:t>
      </w:r>
    </w:p>
    <w:p w:rsidR="000C684F" w:rsidRPr="002327A4" w:rsidRDefault="00B27B13" w:rsidP="00140711">
      <w:pPr>
        <w:pStyle w:val="PargrafodaLista"/>
        <w:spacing w:after="0"/>
        <w:ind w:left="1418"/>
        <w:contextualSpacing w:val="0"/>
        <w:jc w:val="both"/>
        <w:rPr>
          <w:rFonts w:ascii="Garamond" w:hAnsi="Garamond"/>
          <w:sz w:val="24"/>
          <w:szCs w:val="24"/>
        </w:rPr>
      </w:pPr>
      <w:r w:rsidRPr="002327A4">
        <w:rPr>
          <w:rFonts w:ascii="Garamond" w:hAnsi="Garamond"/>
          <w:sz w:val="24"/>
          <w:szCs w:val="24"/>
        </w:rPr>
        <w:t>Exemplo: se o Conselho de Administração</w:t>
      </w:r>
      <w:r w:rsidR="00117EFF" w:rsidRPr="002327A4">
        <w:rPr>
          <w:rFonts w:ascii="Garamond" w:hAnsi="Garamond"/>
          <w:sz w:val="24"/>
          <w:szCs w:val="24"/>
        </w:rPr>
        <w:t xml:space="preserve"> de uma sociedade não pode praticar certo acto, então também nenhum dos administradores o pode fazer.</w:t>
      </w:r>
    </w:p>
    <w:p w:rsidR="00117EFF" w:rsidRPr="002327A4" w:rsidRDefault="00B27B13" w:rsidP="00140711">
      <w:pPr>
        <w:pStyle w:val="PargrafodaLista"/>
        <w:numPr>
          <w:ilvl w:val="0"/>
          <w:numId w:val="5"/>
        </w:numPr>
        <w:spacing w:before="120" w:after="0"/>
        <w:ind w:left="1417" w:hanging="425"/>
        <w:contextualSpacing w:val="0"/>
        <w:jc w:val="both"/>
        <w:rPr>
          <w:rFonts w:ascii="Garamond" w:hAnsi="Garamond"/>
          <w:b/>
          <w:sz w:val="24"/>
          <w:szCs w:val="24"/>
        </w:rPr>
      </w:pPr>
      <w:r w:rsidRPr="002327A4">
        <w:rPr>
          <w:rFonts w:ascii="Garamond" w:hAnsi="Garamond"/>
          <w:b/>
          <w:sz w:val="24"/>
          <w:szCs w:val="24"/>
        </w:rPr>
        <w:t>Estatuição –</w:t>
      </w:r>
      <w:r w:rsidR="00117EFF" w:rsidRPr="002327A4">
        <w:rPr>
          <w:rFonts w:ascii="Garamond" w:hAnsi="Garamond"/>
          <w:b/>
          <w:sz w:val="24"/>
          <w:szCs w:val="24"/>
        </w:rPr>
        <w:t xml:space="preserve"> </w:t>
      </w:r>
      <w:r w:rsidR="00117EFF" w:rsidRPr="002327A4">
        <w:rPr>
          <w:rFonts w:ascii="Garamond" w:hAnsi="Garamond"/>
          <w:sz w:val="24"/>
          <w:szCs w:val="24"/>
          <w:u w:val="single"/>
        </w:rPr>
        <w:t>a norma que permite o mais, também permite o menos</w:t>
      </w:r>
      <w:r w:rsidR="00117EFF" w:rsidRPr="002327A4">
        <w:rPr>
          <w:rFonts w:ascii="Garamond" w:hAnsi="Garamond"/>
          <w:sz w:val="24"/>
          <w:szCs w:val="24"/>
        </w:rPr>
        <w:t>.</w:t>
      </w:r>
    </w:p>
    <w:p w:rsidR="00117EFF" w:rsidRPr="002327A4" w:rsidRDefault="00117EFF" w:rsidP="00140711">
      <w:pPr>
        <w:pStyle w:val="PargrafodaLista"/>
        <w:ind w:left="1418"/>
        <w:jc w:val="both"/>
        <w:rPr>
          <w:rFonts w:ascii="Garamond" w:hAnsi="Garamond"/>
          <w:b/>
          <w:sz w:val="24"/>
          <w:szCs w:val="24"/>
        </w:rPr>
      </w:pPr>
      <w:r w:rsidRPr="002327A4">
        <w:rPr>
          <w:rFonts w:ascii="Garamond" w:hAnsi="Garamond"/>
          <w:sz w:val="24"/>
          <w:szCs w:val="24"/>
        </w:rPr>
        <w:t>Exemplo: quem pode vender um determinado bem, também o pode administrar.</w:t>
      </w:r>
    </w:p>
    <w:p w:rsidR="000C684F" w:rsidRPr="002327A4" w:rsidRDefault="000C684F" w:rsidP="000C684F">
      <w:pPr>
        <w:pStyle w:val="PargrafodaLista"/>
        <w:ind w:left="851" w:hanging="425"/>
        <w:jc w:val="both"/>
        <w:rPr>
          <w:rFonts w:ascii="Garamond" w:hAnsi="Garamond"/>
          <w:b/>
          <w:sz w:val="24"/>
          <w:szCs w:val="24"/>
        </w:rPr>
      </w:pPr>
    </w:p>
    <w:p w:rsidR="000C684F" w:rsidRPr="0074553F" w:rsidRDefault="000C684F" w:rsidP="007330C1">
      <w:pPr>
        <w:pStyle w:val="PargrafodaLista"/>
        <w:keepNext/>
        <w:keepLines/>
        <w:numPr>
          <w:ilvl w:val="1"/>
          <w:numId w:val="3"/>
        </w:numPr>
        <w:ind w:left="993" w:hanging="426"/>
        <w:jc w:val="both"/>
        <w:rPr>
          <w:rFonts w:ascii="Garamond" w:hAnsi="Garamond"/>
          <w:b/>
          <w:smallCaps/>
          <w:sz w:val="24"/>
          <w:szCs w:val="24"/>
        </w:rPr>
      </w:pPr>
      <w:r w:rsidRPr="0074553F">
        <w:rPr>
          <w:rFonts w:ascii="Garamond" w:hAnsi="Garamond"/>
          <w:b/>
          <w:smallCaps/>
          <w:sz w:val="24"/>
          <w:szCs w:val="24"/>
        </w:rPr>
        <w:lastRenderedPageBreak/>
        <w:t xml:space="preserve">Argumento </w:t>
      </w:r>
      <w:r w:rsidRPr="0074553F">
        <w:rPr>
          <w:rFonts w:ascii="Garamond" w:hAnsi="Garamond"/>
          <w:b/>
          <w:i/>
          <w:smallCaps/>
          <w:sz w:val="24"/>
          <w:szCs w:val="24"/>
        </w:rPr>
        <w:t>a minori ad maius</w:t>
      </w:r>
      <w:r w:rsidR="000A744F" w:rsidRPr="0074553F">
        <w:rPr>
          <w:rFonts w:ascii="Garamond" w:hAnsi="Garamond"/>
          <w:b/>
          <w:i/>
          <w:smallCaps/>
          <w:sz w:val="24"/>
          <w:szCs w:val="24"/>
        </w:rPr>
        <w:t xml:space="preserve"> </w:t>
      </w:r>
    </w:p>
    <w:p w:rsidR="00B27B13" w:rsidRPr="002327A4" w:rsidRDefault="00B27B13" w:rsidP="007330C1">
      <w:pPr>
        <w:pStyle w:val="PargrafodaLista"/>
        <w:keepNext/>
        <w:keepLines/>
        <w:ind w:left="426" w:hanging="426"/>
        <w:jc w:val="both"/>
        <w:rPr>
          <w:rFonts w:ascii="Garamond" w:hAnsi="Garamond"/>
          <w:b/>
          <w:sz w:val="24"/>
          <w:szCs w:val="24"/>
        </w:rPr>
      </w:pPr>
    </w:p>
    <w:p w:rsidR="00B27B13" w:rsidRPr="002327A4" w:rsidRDefault="00B27B13" w:rsidP="007330C1">
      <w:pPr>
        <w:pStyle w:val="PargrafodaLista"/>
        <w:keepNext/>
        <w:keepLines/>
        <w:numPr>
          <w:ilvl w:val="0"/>
          <w:numId w:val="6"/>
        </w:numPr>
        <w:ind w:left="1418" w:hanging="425"/>
        <w:jc w:val="both"/>
        <w:rPr>
          <w:rFonts w:ascii="Garamond" w:hAnsi="Garamond"/>
          <w:sz w:val="24"/>
          <w:szCs w:val="24"/>
        </w:rPr>
      </w:pPr>
      <w:r w:rsidRPr="002327A4">
        <w:rPr>
          <w:rFonts w:ascii="Garamond" w:hAnsi="Garamond"/>
          <w:b/>
          <w:sz w:val="24"/>
          <w:szCs w:val="24"/>
        </w:rPr>
        <w:t>Previsão –</w:t>
      </w:r>
      <w:r w:rsidR="00117EFF" w:rsidRPr="002327A4">
        <w:rPr>
          <w:rFonts w:ascii="Garamond" w:hAnsi="Garamond"/>
          <w:b/>
          <w:sz w:val="24"/>
          <w:szCs w:val="24"/>
        </w:rPr>
        <w:t xml:space="preserve"> </w:t>
      </w:r>
      <w:r w:rsidR="00117EFF" w:rsidRPr="002327A4">
        <w:rPr>
          <w:rFonts w:ascii="Garamond" w:hAnsi="Garamond"/>
          <w:sz w:val="24"/>
          <w:szCs w:val="24"/>
          <w:u w:val="single"/>
        </w:rPr>
        <w:t>se o menos é suficiente para produzir um determinado efeito jurídico, então o m</w:t>
      </w:r>
      <w:r w:rsidR="008510CF" w:rsidRPr="002327A4">
        <w:rPr>
          <w:rFonts w:ascii="Garamond" w:hAnsi="Garamond"/>
          <w:sz w:val="24"/>
          <w:szCs w:val="24"/>
          <w:u w:val="single"/>
        </w:rPr>
        <w:t>ais produz necessariamente esse mesmo</w:t>
      </w:r>
      <w:r w:rsidR="00117EFF" w:rsidRPr="002327A4">
        <w:rPr>
          <w:rFonts w:ascii="Garamond" w:hAnsi="Garamond"/>
          <w:sz w:val="24"/>
          <w:szCs w:val="24"/>
          <w:u w:val="single"/>
        </w:rPr>
        <w:t xml:space="preserve"> efeito</w:t>
      </w:r>
      <w:r w:rsidR="008510CF" w:rsidRPr="002327A4">
        <w:rPr>
          <w:rFonts w:ascii="Garamond" w:hAnsi="Garamond"/>
          <w:sz w:val="24"/>
          <w:szCs w:val="24"/>
          <w:u w:val="single"/>
        </w:rPr>
        <w:t xml:space="preserve"> jurídico</w:t>
      </w:r>
      <w:r w:rsidR="00117EFF" w:rsidRPr="002327A4">
        <w:rPr>
          <w:rFonts w:ascii="Garamond" w:hAnsi="Garamond"/>
          <w:sz w:val="24"/>
          <w:szCs w:val="24"/>
        </w:rPr>
        <w:t>.</w:t>
      </w:r>
    </w:p>
    <w:p w:rsidR="00117EFF" w:rsidRPr="002327A4" w:rsidRDefault="00117EFF" w:rsidP="007330C1">
      <w:pPr>
        <w:pStyle w:val="PargrafodaLista"/>
        <w:keepNext/>
        <w:keepLines/>
        <w:spacing w:after="0"/>
        <w:ind w:left="1418"/>
        <w:contextualSpacing w:val="0"/>
        <w:jc w:val="both"/>
        <w:rPr>
          <w:rFonts w:ascii="Garamond" w:hAnsi="Garamond"/>
          <w:sz w:val="24"/>
          <w:szCs w:val="24"/>
        </w:rPr>
      </w:pPr>
      <w:r w:rsidRPr="002327A4">
        <w:rPr>
          <w:rFonts w:ascii="Garamond" w:hAnsi="Garamond"/>
          <w:sz w:val="24"/>
          <w:szCs w:val="24"/>
        </w:rPr>
        <w:t xml:space="preserve">Exemplo: </w:t>
      </w:r>
      <w:r w:rsidR="009C55A3" w:rsidRPr="002327A4">
        <w:rPr>
          <w:rFonts w:ascii="Garamond" w:hAnsi="Garamond"/>
          <w:sz w:val="24"/>
          <w:szCs w:val="24"/>
        </w:rPr>
        <w:t>se a negligência serve para responsabilizar alguém, então o dolo também</w:t>
      </w:r>
    </w:p>
    <w:p w:rsidR="00B27B13" w:rsidRPr="002327A4" w:rsidRDefault="00B27B13" w:rsidP="007330C1">
      <w:pPr>
        <w:pStyle w:val="PargrafodaLista"/>
        <w:keepNext/>
        <w:keepLines/>
        <w:numPr>
          <w:ilvl w:val="0"/>
          <w:numId w:val="6"/>
        </w:numPr>
        <w:spacing w:before="120" w:after="0"/>
        <w:ind w:left="1417" w:hanging="357"/>
        <w:contextualSpacing w:val="0"/>
        <w:jc w:val="both"/>
        <w:rPr>
          <w:rFonts w:ascii="Garamond" w:hAnsi="Garamond"/>
          <w:sz w:val="24"/>
          <w:szCs w:val="24"/>
        </w:rPr>
      </w:pPr>
      <w:r w:rsidRPr="002327A4">
        <w:rPr>
          <w:rFonts w:ascii="Garamond" w:hAnsi="Garamond"/>
          <w:b/>
          <w:sz w:val="24"/>
          <w:szCs w:val="24"/>
        </w:rPr>
        <w:t>Estatuição –</w:t>
      </w:r>
      <w:r w:rsidR="009C55A3" w:rsidRPr="002327A4">
        <w:rPr>
          <w:rFonts w:ascii="Garamond" w:hAnsi="Garamond"/>
          <w:b/>
          <w:sz w:val="24"/>
          <w:szCs w:val="24"/>
        </w:rPr>
        <w:t xml:space="preserve"> </w:t>
      </w:r>
      <w:r w:rsidR="009C55A3" w:rsidRPr="002327A4">
        <w:rPr>
          <w:rFonts w:ascii="Garamond" w:hAnsi="Garamond"/>
          <w:sz w:val="24"/>
          <w:szCs w:val="24"/>
          <w:u w:val="single"/>
        </w:rPr>
        <w:t>a norma que proíbe o menos, proíbe também o mais</w:t>
      </w:r>
      <w:r w:rsidR="009C55A3" w:rsidRPr="002327A4">
        <w:rPr>
          <w:rFonts w:ascii="Garamond" w:hAnsi="Garamond"/>
          <w:sz w:val="24"/>
          <w:szCs w:val="24"/>
        </w:rPr>
        <w:t>.</w:t>
      </w:r>
    </w:p>
    <w:p w:rsidR="000C684F" w:rsidRPr="002327A4" w:rsidRDefault="009C55A3" w:rsidP="007330C1">
      <w:pPr>
        <w:pStyle w:val="PargrafodaLista"/>
        <w:keepNext/>
        <w:keepLines/>
        <w:ind w:left="1418"/>
        <w:jc w:val="both"/>
        <w:rPr>
          <w:rFonts w:ascii="Garamond" w:hAnsi="Garamond"/>
          <w:sz w:val="24"/>
          <w:szCs w:val="24"/>
        </w:rPr>
      </w:pPr>
      <w:r w:rsidRPr="002327A4">
        <w:rPr>
          <w:rFonts w:ascii="Garamond" w:hAnsi="Garamond"/>
          <w:sz w:val="24"/>
          <w:szCs w:val="24"/>
        </w:rPr>
        <w:t>Exemplo: se alguém está proibido de hipotecar um bem (</w:t>
      </w:r>
      <w:r w:rsidRPr="002327A4">
        <w:rPr>
          <w:rFonts w:ascii="Garamond" w:hAnsi="Garamond"/>
          <w:i/>
          <w:sz w:val="24"/>
          <w:szCs w:val="24"/>
        </w:rPr>
        <w:t>e.g.</w:t>
      </w:r>
      <w:r w:rsidRPr="002327A4">
        <w:rPr>
          <w:rFonts w:ascii="Garamond" w:hAnsi="Garamond"/>
          <w:sz w:val="24"/>
          <w:szCs w:val="24"/>
        </w:rPr>
        <w:t xml:space="preserve"> uma casa), está também proibido de o vender.</w:t>
      </w:r>
    </w:p>
    <w:p w:rsidR="009C55A3" w:rsidRPr="002327A4" w:rsidRDefault="009C55A3" w:rsidP="007330C1">
      <w:pPr>
        <w:pStyle w:val="PargrafodaLista"/>
        <w:keepLines/>
        <w:ind w:left="426"/>
        <w:jc w:val="both"/>
        <w:rPr>
          <w:rFonts w:ascii="Garamond" w:hAnsi="Garamond"/>
          <w:b/>
          <w:smallCaps/>
          <w:sz w:val="24"/>
          <w:szCs w:val="24"/>
        </w:rPr>
      </w:pPr>
    </w:p>
    <w:p w:rsidR="000C684F" w:rsidRPr="002327A4" w:rsidRDefault="000C684F" w:rsidP="007330C1">
      <w:pPr>
        <w:pStyle w:val="PargrafodaLista"/>
        <w:keepLines/>
        <w:numPr>
          <w:ilvl w:val="1"/>
          <w:numId w:val="2"/>
        </w:numPr>
        <w:ind w:left="567" w:hanging="567"/>
        <w:jc w:val="both"/>
        <w:rPr>
          <w:rFonts w:ascii="Garamond" w:hAnsi="Garamond"/>
          <w:b/>
          <w:smallCaps/>
          <w:sz w:val="24"/>
          <w:szCs w:val="24"/>
        </w:rPr>
      </w:pPr>
      <w:r w:rsidRPr="002327A4">
        <w:rPr>
          <w:rFonts w:ascii="Garamond" w:hAnsi="Garamond"/>
          <w:b/>
          <w:smallCaps/>
          <w:sz w:val="24"/>
          <w:szCs w:val="24"/>
        </w:rPr>
        <w:t xml:space="preserve">Argumento </w:t>
      </w:r>
      <w:r w:rsidRPr="002327A4">
        <w:rPr>
          <w:rFonts w:ascii="Garamond" w:hAnsi="Garamond"/>
          <w:b/>
          <w:i/>
          <w:smallCaps/>
          <w:sz w:val="24"/>
          <w:szCs w:val="24"/>
        </w:rPr>
        <w:t>a contrario sensu</w:t>
      </w:r>
    </w:p>
    <w:p w:rsidR="000C684F" w:rsidRPr="002327A4" w:rsidRDefault="000C684F" w:rsidP="007330C1">
      <w:pPr>
        <w:pStyle w:val="PargrafodaLista"/>
        <w:keepLines/>
        <w:ind w:left="426"/>
        <w:jc w:val="both"/>
        <w:rPr>
          <w:rFonts w:ascii="Garamond" w:hAnsi="Garamond"/>
          <w:b/>
          <w:sz w:val="24"/>
          <w:szCs w:val="24"/>
        </w:rPr>
      </w:pPr>
    </w:p>
    <w:p w:rsidR="000C684F" w:rsidRPr="0074553F" w:rsidRDefault="000C684F" w:rsidP="007330C1">
      <w:pPr>
        <w:pStyle w:val="PargrafodaLista"/>
        <w:keepLines/>
        <w:numPr>
          <w:ilvl w:val="1"/>
          <w:numId w:val="4"/>
        </w:numPr>
        <w:spacing w:after="120"/>
        <w:ind w:left="993" w:hanging="426"/>
        <w:contextualSpacing w:val="0"/>
        <w:jc w:val="both"/>
        <w:rPr>
          <w:rFonts w:ascii="Garamond" w:hAnsi="Garamond"/>
          <w:b/>
          <w:smallCaps/>
          <w:sz w:val="24"/>
          <w:szCs w:val="24"/>
        </w:rPr>
      </w:pPr>
      <w:r w:rsidRPr="0074553F">
        <w:rPr>
          <w:rFonts w:ascii="Garamond" w:hAnsi="Garamond"/>
          <w:b/>
          <w:smallCaps/>
          <w:sz w:val="24"/>
          <w:szCs w:val="24"/>
        </w:rPr>
        <w:t>Aspectos gerais</w:t>
      </w:r>
    </w:p>
    <w:p w:rsidR="000C684F" w:rsidRPr="002327A4" w:rsidRDefault="009C55A3" w:rsidP="00140711">
      <w:pPr>
        <w:pStyle w:val="PargrafodaLista"/>
        <w:ind w:left="0" w:firstLine="567"/>
        <w:jc w:val="both"/>
        <w:rPr>
          <w:rFonts w:ascii="Garamond" w:hAnsi="Garamond"/>
          <w:sz w:val="24"/>
          <w:szCs w:val="24"/>
        </w:rPr>
      </w:pPr>
      <w:r w:rsidRPr="002327A4">
        <w:rPr>
          <w:rFonts w:ascii="Garamond" w:hAnsi="Garamond"/>
          <w:sz w:val="24"/>
          <w:szCs w:val="24"/>
        </w:rPr>
        <w:t xml:space="preserve">Da interpretação de uma fonte resulta sempre uma norma </w:t>
      </w:r>
      <w:r w:rsidRPr="002327A4">
        <w:rPr>
          <w:rFonts w:ascii="Garamond" w:hAnsi="Garamond"/>
          <w:i/>
          <w:sz w:val="24"/>
          <w:szCs w:val="24"/>
        </w:rPr>
        <w:t>positiva</w:t>
      </w:r>
      <w:r w:rsidRPr="002327A4">
        <w:rPr>
          <w:rFonts w:ascii="Garamond" w:hAnsi="Garamond"/>
          <w:sz w:val="24"/>
          <w:szCs w:val="24"/>
        </w:rPr>
        <w:t xml:space="preserve"> (correspondente aos casos abrangidos) e uma norma </w:t>
      </w:r>
      <w:r w:rsidRPr="002327A4">
        <w:rPr>
          <w:rFonts w:ascii="Garamond" w:hAnsi="Garamond"/>
          <w:i/>
          <w:sz w:val="24"/>
          <w:szCs w:val="24"/>
        </w:rPr>
        <w:t>negativa</w:t>
      </w:r>
      <w:r w:rsidRPr="002327A4">
        <w:rPr>
          <w:rFonts w:ascii="Garamond" w:hAnsi="Garamond"/>
          <w:sz w:val="24"/>
          <w:szCs w:val="24"/>
        </w:rPr>
        <w:t xml:space="preserve"> (relativa aos casos a que a norma não se aplica).</w:t>
      </w:r>
    </w:p>
    <w:p w:rsidR="009C55A3" w:rsidRPr="002327A4" w:rsidRDefault="009C55A3" w:rsidP="00140711">
      <w:pPr>
        <w:pStyle w:val="PargrafodaLista"/>
        <w:ind w:left="0" w:firstLine="567"/>
        <w:jc w:val="both"/>
        <w:rPr>
          <w:rFonts w:ascii="Garamond" w:hAnsi="Garamond"/>
          <w:sz w:val="24"/>
          <w:szCs w:val="24"/>
        </w:rPr>
      </w:pPr>
      <w:r w:rsidRPr="002327A4">
        <w:rPr>
          <w:rFonts w:ascii="Garamond" w:hAnsi="Garamond"/>
          <w:sz w:val="24"/>
          <w:szCs w:val="24"/>
        </w:rPr>
        <w:t xml:space="preserve">O argumento </w:t>
      </w:r>
      <w:r w:rsidRPr="002327A4">
        <w:rPr>
          <w:rFonts w:ascii="Garamond" w:hAnsi="Garamond"/>
          <w:i/>
          <w:sz w:val="24"/>
          <w:szCs w:val="24"/>
        </w:rPr>
        <w:t>a contrario</w:t>
      </w:r>
      <w:r w:rsidRPr="002327A4">
        <w:rPr>
          <w:rFonts w:ascii="Garamond" w:hAnsi="Garamond"/>
          <w:sz w:val="24"/>
          <w:szCs w:val="24"/>
        </w:rPr>
        <w:t xml:space="preserve"> é o que permite concluir que a norma negativa é uma norma de sentido contrário à norma positiva. </w:t>
      </w:r>
    </w:p>
    <w:p w:rsidR="009C55A3" w:rsidRPr="002327A4" w:rsidRDefault="009C55A3" w:rsidP="00140711">
      <w:pPr>
        <w:pStyle w:val="PargrafodaLista"/>
        <w:ind w:left="0" w:firstLine="567"/>
        <w:jc w:val="both"/>
        <w:rPr>
          <w:rFonts w:ascii="Garamond" w:hAnsi="Garamond"/>
          <w:sz w:val="24"/>
          <w:szCs w:val="24"/>
        </w:rPr>
      </w:pPr>
      <w:r w:rsidRPr="002327A4">
        <w:rPr>
          <w:rFonts w:ascii="Garamond" w:hAnsi="Garamond"/>
          <w:sz w:val="24"/>
          <w:szCs w:val="24"/>
        </w:rPr>
        <w:t xml:space="preserve">Se a norma positiva só abrange um determinado caso, podemos concluir que todos os casos que não sejam análogos ao caso regulado </w:t>
      </w:r>
      <w:r w:rsidR="006A465A" w:rsidRPr="002327A4">
        <w:rPr>
          <w:rFonts w:ascii="Garamond" w:hAnsi="Garamond"/>
          <w:sz w:val="24"/>
          <w:szCs w:val="24"/>
        </w:rPr>
        <w:t>são abrangidos pela norma de sentido contrário.</w:t>
      </w:r>
    </w:p>
    <w:p w:rsidR="00140711" w:rsidRDefault="006A465A" w:rsidP="00140711">
      <w:pPr>
        <w:pStyle w:val="PargrafodaLista"/>
        <w:ind w:left="0" w:firstLine="567"/>
        <w:jc w:val="both"/>
        <w:rPr>
          <w:rFonts w:ascii="Garamond" w:hAnsi="Garamond"/>
          <w:sz w:val="24"/>
          <w:szCs w:val="24"/>
          <w:u w:val="single"/>
        </w:rPr>
      </w:pPr>
      <w:r w:rsidRPr="002327A4">
        <w:rPr>
          <w:rFonts w:ascii="Garamond" w:hAnsi="Garamond"/>
          <w:sz w:val="24"/>
          <w:szCs w:val="24"/>
        </w:rPr>
        <w:t>Serve para saber se a norma, ao regular um caso, exclui do seu âmbito todos os outros (</w:t>
      </w:r>
      <w:r w:rsidRPr="002327A4">
        <w:rPr>
          <w:rFonts w:ascii="Garamond" w:hAnsi="Garamond"/>
          <w:i/>
          <w:sz w:val="24"/>
          <w:szCs w:val="24"/>
        </w:rPr>
        <w:t>a contrario</w:t>
      </w:r>
      <w:r w:rsidRPr="002327A4">
        <w:rPr>
          <w:rFonts w:ascii="Garamond" w:hAnsi="Garamond"/>
          <w:sz w:val="24"/>
          <w:szCs w:val="24"/>
        </w:rPr>
        <w:t>)</w:t>
      </w:r>
      <w:r w:rsidR="00140711">
        <w:rPr>
          <w:rFonts w:ascii="Garamond" w:hAnsi="Garamond"/>
          <w:sz w:val="24"/>
          <w:szCs w:val="24"/>
        </w:rPr>
        <w:t xml:space="preserve"> </w:t>
      </w:r>
      <w:r w:rsidR="002327A4" w:rsidRPr="002327A4">
        <w:rPr>
          <w:rFonts w:ascii="Garamond" w:hAnsi="Garamond"/>
          <w:sz w:val="24"/>
          <w:szCs w:val="24"/>
          <w:u w:val="single"/>
        </w:rPr>
        <w:t>o</w:t>
      </w:r>
      <w:r w:rsidRPr="002327A4">
        <w:rPr>
          <w:rFonts w:ascii="Garamond" w:hAnsi="Garamond"/>
          <w:sz w:val="24"/>
          <w:szCs w:val="24"/>
          <w:u w:val="single"/>
        </w:rPr>
        <w:t>u</w:t>
      </w:r>
      <w:r w:rsidR="00140711">
        <w:rPr>
          <w:rFonts w:ascii="Garamond" w:hAnsi="Garamond"/>
          <w:sz w:val="24"/>
          <w:szCs w:val="24"/>
          <w:u w:val="single"/>
        </w:rPr>
        <w:t xml:space="preserve">, </w:t>
      </w:r>
    </w:p>
    <w:p w:rsidR="006A465A" w:rsidRPr="00140711" w:rsidRDefault="00140711" w:rsidP="00140711">
      <w:pPr>
        <w:pStyle w:val="PargrafodaLista"/>
        <w:ind w:left="0"/>
        <w:jc w:val="both"/>
        <w:rPr>
          <w:rFonts w:ascii="Garamond" w:hAnsi="Garamond"/>
          <w:sz w:val="24"/>
          <w:szCs w:val="24"/>
        </w:rPr>
      </w:pPr>
      <w:r>
        <w:rPr>
          <w:rFonts w:ascii="Garamond" w:hAnsi="Garamond"/>
          <w:sz w:val="24"/>
          <w:szCs w:val="24"/>
        </w:rPr>
        <w:t>s</w:t>
      </w:r>
      <w:r w:rsidR="006A465A" w:rsidRPr="002327A4">
        <w:rPr>
          <w:rFonts w:ascii="Garamond" w:hAnsi="Garamond"/>
          <w:sz w:val="24"/>
          <w:szCs w:val="24"/>
        </w:rPr>
        <w:t>e apesar de se aplicar a um caso, também deve</w:t>
      </w:r>
      <w:r w:rsidR="00D02543" w:rsidRPr="002327A4">
        <w:rPr>
          <w:rFonts w:ascii="Garamond" w:hAnsi="Garamond"/>
          <w:sz w:val="24"/>
          <w:szCs w:val="24"/>
        </w:rPr>
        <w:t xml:space="preserve"> ser aplicada a outros </w:t>
      </w:r>
      <w:r>
        <w:rPr>
          <w:rFonts w:ascii="Garamond" w:hAnsi="Garamond"/>
          <w:sz w:val="24"/>
          <w:szCs w:val="24"/>
        </w:rPr>
        <w:t xml:space="preserve">casos </w:t>
      </w:r>
      <w:r w:rsidR="00D02543" w:rsidRPr="002327A4">
        <w:rPr>
          <w:rFonts w:ascii="Garamond" w:hAnsi="Garamond"/>
          <w:sz w:val="24"/>
          <w:szCs w:val="24"/>
        </w:rPr>
        <w:t>(por analogia)</w:t>
      </w:r>
      <w:r>
        <w:rPr>
          <w:rFonts w:ascii="Garamond" w:hAnsi="Garamond"/>
          <w:sz w:val="24"/>
          <w:szCs w:val="24"/>
        </w:rPr>
        <w:t xml:space="preserve"> (</w:t>
      </w:r>
      <w:r w:rsidRPr="00140711">
        <w:rPr>
          <w:rFonts w:ascii="Garamond" w:hAnsi="Garamond"/>
          <w:smallCaps/>
          <w:sz w:val="24"/>
          <w:szCs w:val="24"/>
        </w:rPr>
        <w:t>Peczenik</w:t>
      </w:r>
      <w:r>
        <w:rPr>
          <w:rFonts w:ascii="Garamond" w:hAnsi="Garamond"/>
          <w:sz w:val="24"/>
          <w:szCs w:val="24"/>
        </w:rPr>
        <w:t>)</w:t>
      </w:r>
      <w:r w:rsidR="00D02543" w:rsidRPr="002327A4">
        <w:rPr>
          <w:rFonts w:ascii="Garamond" w:hAnsi="Garamond"/>
          <w:sz w:val="24"/>
          <w:szCs w:val="24"/>
        </w:rPr>
        <w:t>.</w:t>
      </w:r>
    </w:p>
    <w:p w:rsidR="00D02543" w:rsidRPr="002327A4" w:rsidRDefault="00140711" w:rsidP="00140711">
      <w:pPr>
        <w:pStyle w:val="PargrafodaLista"/>
        <w:ind w:left="0" w:firstLine="567"/>
        <w:jc w:val="both"/>
        <w:rPr>
          <w:rFonts w:ascii="Garamond" w:hAnsi="Garamond"/>
          <w:sz w:val="24"/>
          <w:szCs w:val="24"/>
        </w:rPr>
      </w:pPr>
      <w:r>
        <w:rPr>
          <w:rFonts w:ascii="Garamond" w:hAnsi="Garamond"/>
          <w:sz w:val="24"/>
          <w:szCs w:val="24"/>
        </w:rPr>
        <w:t>Exemplo –</w:t>
      </w:r>
      <w:r w:rsidR="00D02543" w:rsidRPr="002327A4">
        <w:rPr>
          <w:rFonts w:ascii="Garamond" w:hAnsi="Garamond"/>
          <w:sz w:val="24"/>
          <w:szCs w:val="24"/>
        </w:rPr>
        <w:t xml:space="preserve"> é proibida a entrada numa discoteca a pessoas sem t-shirt</w:t>
      </w:r>
      <w:r>
        <w:rPr>
          <w:rFonts w:ascii="Garamond" w:hAnsi="Garamond"/>
          <w:sz w:val="24"/>
          <w:szCs w:val="24"/>
        </w:rPr>
        <w:t>:</w:t>
      </w:r>
      <w:r w:rsidR="00D02543" w:rsidRPr="002327A4">
        <w:rPr>
          <w:rFonts w:ascii="Garamond" w:hAnsi="Garamond"/>
          <w:sz w:val="24"/>
          <w:szCs w:val="24"/>
        </w:rPr>
        <w:t xml:space="preserve"> </w:t>
      </w:r>
      <w:r w:rsidR="00D02543" w:rsidRPr="002327A4">
        <w:rPr>
          <w:rFonts w:ascii="Garamond" w:hAnsi="Garamond"/>
          <w:i/>
          <w:sz w:val="24"/>
          <w:szCs w:val="24"/>
        </w:rPr>
        <w:t>(i)</w:t>
      </w:r>
      <w:r w:rsidR="00D02543" w:rsidRPr="002327A4">
        <w:rPr>
          <w:rFonts w:ascii="Garamond" w:hAnsi="Garamond"/>
          <w:sz w:val="24"/>
          <w:szCs w:val="24"/>
        </w:rPr>
        <w:t xml:space="preserve"> quem se apresenta sem calças pode entrar (argumento </w:t>
      </w:r>
      <w:r w:rsidR="00D02543" w:rsidRPr="002327A4">
        <w:rPr>
          <w:rFonts w:ascii="Garamond" w:hAnsi="Garamond"/>
          <w:i/>
          <w:sz w:val="24"/>
          <w:szCs w:val="24"/>
        </w:rPr>
        <w:t>a contrario</w:t>
      </w:r>
      <w:r w:rsidR="00D02543" w:rsidRPr="002327A4">
        <w:rPr>
          <w:rFonts w:ascii="Garamond" w:hAnsi="Garamond"/>
          <w:sz w:val="24"/>
          <w:szCs w:val="24"/>
        </w:rPr>
        <w:t xml:space="preserve">); </w:t>
      </w:r>
      <w:r w:rsidR="00D02543" w:rsidRPr="002327A4">
        <w:rPr>
          <w:rFonts w:ascii="Garamond" w:hAnsi="Garamond"/>
          <w:i/>
          <w:sz w:val="24"/>
          <w:szCs w:val="24"/>
        </w:rPr>
        <w:t>(ii)</w:t>
      </w:r>
      <w:r w:rsidR="00D02543" w:rsidRPr="002327A4">
        <w:rPr>
          <w:rFonts w:ascii="Garamond" w:hAnsi="Garamond"/>
          <w:sz w:val="24"/>
          <w:szCs w:val="24"/>
        </w:rPr>
        <w:t xml:space="preserve"> </w:t>
      </w:r>
      <w:r w:rsidR="002327A4">
        <w:rPr>
          <w:rFonts w:ascii="Garamond" w:hAnsi="Garamond"/>
          <w:sz w:val="24"/>
          <w:szCs w:val="24"/>
        </w:rPr>
        <w:t xml:space="preserve">não pode </w:t>
      </w:r>
      <w:r>
        <w:rPr>
          <w:rFonts w:ascii="Garamond" w:hAnsi="Garamond"/>
          <w:sz w:val="24"/>
          <w:szCs w:val="24"/>
        </w:rPr>
        <w:t xml:space="preserve">também </w:t>
      </w:r>
      <w:r w:rsidR="002327A4">
        <w:rPr>
          <w:rFonts w:ascii="Garamond" w:hAnsi="Garamond"/>
          <w:sz w:val="24"/>
          <w:szCs w:val="24"/>
        </w:rPr>
        <w:t xml:space="preserve">entrar </w:t>
      </w:r>
      <w:r>
        <w:rPr>
          <w:rFonts w:ascii="Garamond" w:hAnsi="Garamond"/>
          <w:sz w:val="24"/>
          <w:szCs w:val="24"/>
        </w:rPr>
        <w:t xml:space="preserve">quem se apresentar sem calças </w:t>
      </w:r>
      <w:r w:rsidR="002327A4">
        <w:rPr>
          <w:rFonts w:ascii="Garamond" w:hAnsi="Garamond"/>
          <w:sz w:val="24"/>
          <w:szCs w:val="24"/>
        </w:rPr>
        <w:t>[</w:t>
      </w:r>
      <w:r w:rsidR="002327A4" w:rsidRPr="002327A4">
        <w:rPr>
          <w:rFonts w:ascii="Garamond" w:hAnsi="Garamond"/>
          <w:sz w:val="24"/>
          <w:szCs w:val="24"/>
        </w:rPr>
        <w:t xml:space="preserve">argumento </w:t>
      </w:r>
      <w:r w:rsidR="00D02543" w:rsidRPr="002327A4">
        <w:rPr>
          <w:rFonts w:ascii="Garamond" w:hAnsi="Garamond"/>
          <w:i/>
          <w:sz w:val="24"/>
          <w:szCs w:val="24"/>
        </w:rPr>
        <w:t xml:space="preserve">a </w:t>
      </w:r>
      <w:r w:rsidR="002327A4" w:rsidRPr="002327A4">
        <w:rPr>
          <w:rFonts w:ascii="Garamond" w:hAnsi="Garamond"/>
          <w:i/>
          <w:sz w:val="24"/>
          <w:szCs w:val="24"/>
        </w:rPr>
        <w:t>si</w:t>
      </w:r>
      <w:r w:rsidR="00D02543" w:rsidRPr="002327A4">
        <w:rPr>
          <w:rFonts w:ascii="Garamond" w:hAnsi="Garamond"/>
          <w:i/>
          <w:sz w:val="24"/>
          <w:szCs w:val="24"/>
        </w:rPr>
        <w:t>mile</w:t>
      </w:r>
      <w:r w:rsidR="002327A4">
        <w:rPr>
          <w:rFonts w:ascii="Garamond" w:hAnsi="Garamond"/>
          <w:sz w:val="24"/>
          <w:szCs w:val="24"/>
        </w:rPr>
        <w:t xml:space="preserve"> (é o mesmo que por</w:t>
      </w:r>
      <w:r w:rsidR="00D02543" w:rsidRPr="002327A4">
        <w:rPr>
          <w:rFonts w:ascii="Garamond" w:hAnsi="Garamond"/>
          <w:sz w:val="24"/>
          <w:szCs w:val="24"/>
        </w:rPr>
        <w:t xml:space="preserve"> analogia)</w:t>
      </w:r>
      <w:r w:rsidR="002327A4">
        <w:rPr>
          <w:rFonts w:ascii="Garamond" w:hAnsi="Garamond"/>
          <w:sz w:val="24"/>
          <w:szCs w:val="24"/>
        </w:rPr>
        <w:t>]</w:t>
      </w:r>
      <w:r w:rsidR="00D02543" w:rsidRPr="002327A4">
        <w:rPr>
          <w:rFonts w:ascii="Garamond" w:hAnsi="Garamond"/>
          <w:sz w:val="24"/>
          <w:szCs w:val="24"/>
        </w:rPr>
        <w:t>.</w:t>
      </w:r>
    </w:p>
    <w:p w:rsidR="00D02543" w:rsidRDefault="00D02543" w:rsidP="00140711">
      <w:pPr>
        <w:spacing w:after="0"/>
        <w:ind w:firstLine="567"/>
        <w:jc w:val="both"/>
        <w:rPr>
          <w:rFonts w:ascii="Garamond" w:hAnsi="Garamond"/>
          <w:sz w:val="24"/>
          <w:szCs w:val="24"/>
        </w:rPr>
      </w:pPr>
      <w:r w:rsidRPr="002327A4">
        <w:rPr>
          <w:rFonts w:ascii="Garamond" w:hAnsi="Garamond"/>
          <w:sz w:val="24"/>
          <w:szCs w:val="24"/>
        </w:rPr>
        <w:t>* Não devemos complicar ainda mais o recurso a este argumento, procurando determinar a intenção do legislador</w:t>
      </w:r>
      <w:r w:rsidR="00140711">
        <w:rPr>
          <w:rFonts w:ascii="Garamond" w:hAnsi="Garamond"/>
          <w:sz w:val="24"/>
          <w:szCs w:val="24"/>
        </w:rPr>
        <w:t xml:space="preserve"> (</w:t>
      </w:r>
      <w:r w:rsidR="00140711" w:rsidRPr="00140711">
        <w:rPr>
          <w:rFonts w:ascii="Garamond" w:hAnsi="Garamond"/>
          <w:smallCaps/>
          <w:sz w:val="24"/>
          <w:szCs w:val="24"/>
        </w:rPr>
        <w:t>Jansen</w:t>
      </w:r>
      <w:r w:rsidR="00140711">
        <w:rPr>
          <w:rFonts w:ascii="Garamond" w:hAnsi="Garamond"/>
          <w:sz w:val="24"/>
          <w:szCs w:val="24"/>
        </w:rPr>
        <w:t>)</w:t>
      </w:r>
      <w:r w:rsidRPr="002327A4">
        <w:rPr>
          <w:rFonts w:ascii="Garamond" w:hAnsi="Garamond"/>
          <w:sz w:val="24"/>
          <w:szCs w:val="24"/>
        </w:rPr>
        <w:t>. Há que recorrer aqui a parâmetros objectivos: o que conta é, de forma objectiva, se o sistema requer ou não a reconstrução de uma regra oposta à regra explícita.</w:t>
      </w:r>
    </w:p>
    <w:p w:rsidR="00140711" w:rsidRDefault="00140711" w:rsidP="00140711">
      <w:pPr>
        <w:spacing w:after="0"/>
        <w:ind w:firstLine="567"/>
        <w:jc w:val="both"/>
        <w:rPr>
          <w:rFonts w:ascii="Garamond" w:hAnsi="Garamond"/>
          <w:sz w:val="24"/>
          <w:szCs w:val="24"/>
        </w:rPr>
      </w:pPr>
    </w:p>
    <w:p w:rsidR="00140711" w:rsidRDefault="00140711" w:rsidP="00140711">
      <w:pPr>
        <w:spacing w:after="0"/>
        <w:ind w:firstLine="567"/>
        <w:jc w:val="both"/>
        <w:rPr>
          <w:rFonts w:ascii="Garamond" w:hAnsi="Garamond"/>
          <w:sz w:val="24"/>
          <w:szCs w:val="24"/>
        </w:rPr>
      </w:pPr>
      <w:r>
        <w:rPr>
          <w:rFonts w:ascii="Garamond" w:hAnsi="Garamond"/>
          <w:sz w:val="24"/>
          <w:szCs w:val="24"/>
        </w:rPr>
        <w:t xml:space="preserve">É possível identificar dois sentidos no âmbito do argumento a contrario: </w:t>
      </w:r>
      <w:r w:rsidRPr="00140711">
        <w:rPr>
          <w:rFonts w:ascii="Garamond" w:hAnsi="Garamond"/>
          <w:i/>
          <w:sz w:val="24"/>
          <w:szCs w:val="24"/>
        </w:rPr>
        <w:t>(i)</w:t>
      </w:r>
      <w:r>
        <w:rPr>
          <w:rFonts w:ascii="Garamond" w:hAnsi="Garamond"/>
          <w:sz w:val="24"/>
          <w:szCs w:val="24"/>
        </w:rPr>
        <w:t xml:space="preserve"> um </w:t>
      </w:r>
      <w:r w:rsidRPr="00140711">
        <w:rPr>
          <w:rFonts w:ascii="Garamond" w:hAnsi="Garamond"/>
          <w:i/>
          <w:sz w:val="24"/>
          <w:szCs w:val="24"/>
        </w:rPr>
        <w:t>sentido forte</w:t>
      </w:r>
      <w:r>
        <w:rPr>
          <w:rFonts w:ascii="Garamond" w:hAnsi="Garamond"/>
          <w:i/>
          <w:sz w:val="24"/>
          <w:szCs w:val="24"/>
        </w:rPr>
        <w:t>,</w:t>
      </w:r>
      <w:r>
        <w:rPr>
          <w:rFonts w:ascii="Garamond" w:hAnsi="Garamond"/>
          <w:sz w:val="24"/>
          <w:szCs w:val="24"/>
        </w:rPr>
        <w:t xml:space="preserve"> e </w:t>
      </w:r>
      <w:r w:rsidRPr="00140711">
        <w:rPr>
          <w:rFonts w:ascii="Garamond" w:hAnsi="Garamond"/>
          <w:i/>
          <w:sz w:val="24"/>
          <w:szCs w:val="24"/>
        </w:rPr>
        <w:t>(ii)</w:t>
      </w:r>
      <w:r>
        <w:rPr>
          <w:rFonts w:ascii="Garamond" w:hAnsi="Garamond"/>
          <w:sz w:val="24"/>
          <w:szCs w:val="24"/>
        </w:rPr>
        <w:t xml:space="preserve"> um </w:t>
      </w:r>
      <w:r w:rsidRPr="00140711">
        <w:rPr>
          <w:rFonts w:ascii="Garamond" w:hAnsi="Garamond"/>
          <w:i/>
          <w:sz w:val="24"/>
          <w:szCs w:val="24"/>
        </w:rPr>
        <w:t>sentido fraco</w:t>
      </w:r>
      <w:r>
        <w:rPr>
          <w:rFonts w:ascii="Garamond" w:hAnsi="Garamond"/>
          <w:i/>
          <w:sz w:val="24"/>
          <w:szCs w:val="24"/>
        </w:rPr>
        <w:t xml:space="preserve"> </w:t>
      </w:r>
      <w:r w:rsidRPr="00140711">
        <w:rPr>
          <w:rFonts w:ascii="Garamond" w:hAnsi="Garamond"/>
          <w:sz w:val="24"/>
          <w:szCs w:val="24"/>
        </w:rPr>
        <w:t>(</w:t>
      </w:r>
      <w:r w:rsidRPr="00140711">
        <w:rPr>
          <w:rFonts w:ascii="Garamond" w:hAnsi="Garamond"/>
          <w:smallCaps/>
          <w:sz w:val="24"/>
          <w:szCs w:val="24"/>
        </w:rPr>
        <w:t>Teixeira de Sousa</w:t>
      </w:r>
      <w:r w:rsidRPr="00140711">
        <w:rPr>
          <w:rFonts w:ascii="Garamond" w:hAnsi="Garamond"/>
          <w:sz w:val="24"/>
          <w:szCs w:val="24"/>
        </w:rPr>
        <w:t>).</w:t>
      </w:r>
    </w:p>
    <w:p w:rsidR="00140711" w:rsidRPr="002327A4" w:rsidRDefault="00140711" w:rsidP="00140711">
      <w:pPr>
        <w:spacing w:after="0"/>
        <w:ind w:firstLine="425"/>
        <w:jc w:val="both"/>
        <w:rPr>
          <w:rFonts w:ascii="Garamond" w:hAnsi="Garamond"/>
          <w:sz w:val="24"/>
          <w:szCs w:val="24"/>
        </w:rPr>
      </w:pPr>
    </w:p>
    <w:p w:rsidR="00D02543" w:rsidRPr="002327A4" w:rsidRDefault="000C684F" w:rsidP="00140711">
      <w:pPr>
        <w:pStyle w:val="PargrafodaLista"/>
        <w:numPr>
          <w:ilvl w:val="1"/>
          <w:numId w:val="4"/>
        </w:numPr>
        <w:spacing w:after="120"/>
        <w:ind w:left="993" w:hanging="425"/>
        <w:jc w:val="both"/>
        <w:rPr>
          <w:rFonts w:ascii="Garamond" w:hAnsi="Garamond"/>
          <w:b/>
          <w:sz w:val="24"/>
          <w:szCs w:val="24"/>
        </w:rPr>
      </w:pPr>
      <w:r w:rsidRPr="0074553F">
        <w:rPr>
          <w:rFonts w:ascii="Garamond" w:hAnsi="Garamond"/>
          <w:b/>
          <w:smallCaps/>
          <w:sz w:val="24"/>
          <w:szCs w:val="24"/>
        </w:rPr>
        <w:t>Sentido forte</w:t>
      </w:r>
      <w:r w:rsidR="00D02543" w:rsidRPr="0074553F">
        <w:rPr>
          <w:rFonts w:ascii="Garamond" w:hAnsi="Garamond"/>
          <w:smallCaps/>
          <w:sz w:val="24"/>
          <w:szCs w:val="24"/>
        </w:rPr>
        <w:t xml:space="preserve"> –</w:t>
      </w:r>
      <w:r w:rsidR="00D02543" w:rsidRPr="002327A4">
        <w:rPr>
          <w:rFonts w:ascii="Garamond" w:hAnsi="Garamond"/>
          <w:b/>
          <w:sz w:val="24"/>
          <w:szCs w:val="24"/>
        </w:rPr>
        <w:t xml:space="preserve"> </w:t>
      </w:r>
      <w:r w:rsidR="00D02543" w:rsidRPr="002327A4">
        <w:rPr>
          <w:rFonts w:ascii="Garamond" w:hAnsi="Garamond"/>
          <w:sz w:val="24"/>
          <w:szCs w:val="24"/>
        </w:rPr>
        <w:t>baseia-se nos casos de inadmissibilidade de analogia (ex. normas excepcionais).</w:t>
      </w:r>
    </w:p>
    <w:p w:rsidR="00D02543" w:rsidRPr="002327A4" w:rsidRDefault="00F23981" w:rsidP="00140711">
      <w:pPr>
        <w:tabs>
          <w:tab w:val="left" w:pos="1134"/>
        </w:tabs>
        <w:spacing w:after="0"/>
        <w:ind w:firstLine="567"/>
        <w:jc w:val="both"/>
        <w:rPr>
          <w:rFonts w:ascii="Garamond" w:hAnsi="Garamond"/>
          <w:sz w:val="24"/>
          <w:szCs w:val="24"/>
        </w:rPr>
      </w:pPr>
      <w:r w:rsidRPr="002327A4">
        <w:rPr>
          <w:rFonts w:ascii="Garamond" w:hAnsi="Garamond"/>
          <w:sz w:val="24"/>
          <w:szCs w:val="24"/>
        </w:rPr>
        <w:t xml:space="preserve">A </w:t>
      </w:r>
      <w:r w:rsidR="0061010D" w:rsidRPr="002327A4">
        <w:rPr>
          <w:rFonts w:ascii="Garamond" w:hAnsi="Garamond"/>
          <w:sz w:val="24"/>
          <w:szCs w:val="24"/>
        </w:rPr>
        <w:t>norma que o fundamenta</w:t>
      </w:r>
      <w:r w:rsidRPr="002327A4">
        <w:rPr>
          <w:rFonts w:ascii="Garamond" w:hAnsi="Garamond"/>
          <w:sz w:val="24"/>
          <w:szCs w:val="24"/>
        </w:rPr>
        <w:t xml:space="preserve"> não </w:t>
      </w:r>
      <w:r w:rsidR="0061010D" w:rsidRPr="002327A4">
        <w:rPr>
          <w:rFonts w:ascii="Garamond" w:hAnsi="Garamond"/>
          <w:sz w:val="24"/>
          <w:szCs w:val="24"/>
        </w:rPr>
        <w:t>pode admitir</w:t>
      </w:r>
      <w:r w:rsidRPr="002327A4">
        <w:rPr>
          <w:rFonts w:ascii="Garamond" w:hAnsi="Garamond"/>
          <w:sz w:val="24"/>
          <w:szCs w:val="24"/>
        </w:rPr>
        <w:t xml:space="preserve"> </w:t>
      </w:r>
      <w:r w:rsidR="0061010D" w:rsidRPr="002327A4">
        <w:rPr>
          <w:rFonts w:ascii="Garamond" w:hAnsi="Garamond"/>
          <w:sz w:val="24"/>
          <w:szCs w:val="24"/>
        </w:rPr>
        <w:t xml:space="preserve">o recurso à </w:t>
      </w:r>
      <w:r w:rsidRPr="002327A4">
        <w:rPr>
          <w:rFonts w:ascii="Garamond" w:hAnsi="Garamond"/>
          <w:sz w:val="24"/>
          <w:szCs w:val="24"/>
        </w:rPr>
        <w:t xml:space="preserve">aplicação analógica aos casos nela </w:t>
      </w:r>
      <w:r w:rsidR="0061010D" w:rsidRPr="002327A4">
        <w:rPr>
          <w:rFonts w:ascii="Garamond" w:hAnsi="Garamond"/>
          <w:sz w:val="24"/>
          <w:szCs w:val="24"/>
        </w:rPr>
        <w:t xml:space="preserve">não </w:t>
      </w:r>
      <w:r w:rsidRPr="002327A4">
        <w:rPr>
          <w:rFonts w:ascii="Garamond" w:hAnsi="Garamond"/>
          <w:sz w:val="24"/>
          <w:szCs w:val="24"/>
        </w:rPr>
        <w:t>previstos</w:t>
      </w:r>
      <w:r w:rsidR="00D02543" w:rsidRPr="002327A4">
        <w:rPr>
          <w:rFonts w:ascii="Garamond" w:hAnsi="Garamond"/>
          <w:sz w:val="24"/>
          <w:szCs w:val="24"/>
        </w:rPr>
        <w:t>.</w:t>
      </w:r>
      <w:r w:rsidRPr="002327A4">
        <w:rPr>
          <w:rFonts w:ascii="Garamond" w:hAnsi="Garamond"/>
          <w:sz w:val="24"/>
          <w:szCs w:val="24"/>
        </w:rPr>
        <w:t xml:space="preserve"> Assim, os casos que ela não abrange são regulados por uma norma de sentido contrário.</w:t>
      </w:r>
    </w:p>
    <w:p w:rsidR="00F23981" w:rsidRPr="002327A4" w:rsidRDefault="00F23981" w:rsidP="00140711">
      <w:pPr>
        <w:pStyle w:val="PargrafodaLista"/>
        <w:tabs>
          <w:tab w:val="left" w:pos="1134"/>
        </w:tabs>
        <w:spacing w:after="0"/>
        <w:ind w:left="0" w:firstLine="567"/>
        <w:jc w:val="both"/>
        <w:rPr>
          <w:rFonts w:ascii="Garamond" w:hAnsi="Garamond"/>
          <w:sz w:val="24"/>
          <w:szCs w:val="24"/>
        </w:rPr>
      </w:pPr>
      <w:r w:rsidRPr="002327A4">
        <w:rPr>
          <w:rFonts w:ascii="Garamond" w:hAnsi="Garamond"/>
          <w:sz w:val="24"/>
          <w:szCs w:val="24"/>
        </w:rPr>
        <w:t xml:space="preserve">Não pode haver aplicação analógica em três casos, onde, por sua vez, é possível recorrer ao argumento a contrario: </w:t>
      </w:r>
      <w:r w:rsidRPr="002327A4">
        <w:rPr>
          <w:rFonts w:ascii="Garamond" w:hAnsi="Garamond"/>
          <w:i/>
          <w:sz w:val="24"/>
          <w:szCs w:val="24"/>
        </w:rPr>
        <w:t>(i)</w:t>
      </w:r>
      <w:r w:rsidRPr="002327A4">
        <w:rPr>
          <w:rFonts w:ascii="Garamond" w:hAnsi="Garamond"/>
          <w:sz w:val="24"/>
          <w:szCs w:val="24"/>
        </w:rPr>
        <w:t xml:space="preserve"> normas excepcionais que definem um </w:t>
      </w:r>
      <w:r w:rsidRPr="002327A4">
        <w:rPr>
          <w:rFonts w:ascii="Garamond" w:hAnsi="Garamond"/>
          <w:i/>
          <w:sz w:val="24"/>
          <w:szCs w:val="24"/>
        </w:rPr>
        <w:t>ius singulare</w:t>
      </w:r>
      <w:r w:rsidRPr="002327A4">
        <w:rPr>
          <w:rFonts w:ascii="Garamond" w:hAnsi="Garamond"/>
          <w:sz w:val="24"/>
          <w:szCs w:val="24"/>
        </w:rPr>
        <w:t xml:space="preserve">; </w:t>
      </w:r>
      <w:r w:rsidRPr="002327A4">
        <w:rPr>
          <w:rFonts w:ascii="Garamond" w:hAnsi="Garamond"/>
          <w:i/>
          <w:sz w:val="24"/>
          <w:szCs w:val="24"/>
        </w:rPr>
        <w:t>(ii)</w:t>
      </w:r>
      <w:r w:rsidRPr="002327A4">
        <w:rPr>
          <w:rFonts w:ascii="Garamond" w:hAnsi="Garamond"/>
          <w:sz w:val="24"/>
          <w:szCs w:val="24"/>
        </w:rPr>
        <w:t xml:space="preserve"> normas que contêm uma tipologia taxativa; e </w:t>
      </w:r>
      <w:r w:rsidRPr="002327A4">
        <w:rPr>
          <w:rFonts w:ascii="Garamond" w:hAnsi="Garamond"/>
          <w:i/>
          <w:sz w:val="24"/>
          <w:szCs w:val="24"/>
        </w:rPr>
        <w:t>(iii)</w:t>
      </w:r>
      <w:r w:rsidRPr="002327A4">
        <w:rPr>
          <w:rFonts w:ascii="Garamond" w:hAnsi="Garamond"/>
          <w:sz w:val="24"/>
          <w:szCs w:val="24"/>
        </w:rPr>
        <w:t xml:space="preserve"> casos de interpretação restritiva da norma. </w:t>
      </w:r>
    </w:p>
    <w:p w:rsidR="00F23981" w:rsidRPr="002327A4" w:rsidRDefault="0074553F" w:rsidP="0074553F">
      <w:pPr>
        <w:pStyle w:val="PargrafodaLista"/>
        <w:numPr>
          <w:ilvl w:val="0"/>
          <w:numId w:val="11"/>
        </w:numPr>
        <w:tabs>
          <w:tab w:val="left" w:pos="709"/>
        </w:tabs>
        <w:spacing w:before="120" w:after="0"/>
        <w:ind w:left="993" w:hanging="426"/>
        <w:contextualSpacing w:val="0"/>
        <w:jc w:val="both"/>
        <w:rPr>
          <w:rFonts w:ascii="Garamond" w:hAnsi="Garamond"/>
          <w:sz w:val="24"/>
          <w:szCs w:val="24"/>
          <w:u w:val="single"/>
        </w:rPr>
      </w:pPr>
      <w:r>
        <w:rPr>
          <w:rFonts w:ascii="Garamond" w:hAnsi="Garamond"/>
          <w:sz w:val="24"/>
          <w:szCs w:val="24"/>
          <w:u w:val="single"/>
        </w:rPr>
        <w:t>N</w:t>
      </w:r>
      <w:r w:rsidR="00F23981" w:rsidRPr="002327A4">
        <w:rPr>
          <w:rFonts w:ascii="Garamond" w:hAnsi="Garamond"/>
          <w:sz w:val="24"/>
          <w:szCs w:val="24"/>
          <w:u w:val="single"/>
        </w:rPr>
        <w:t xml:space="preserve">ormas excepcionais que definem um </w:t>
      </w:r>
      <w:r w:rsidR="00F23981" w:rsidRPr="002327A4">
        <w:rPr>
          <w:rFonts w:ascii="Garamond" w:hAnsi="Garamond"/>
          <w:i/>
          <w:sz w:val="24"/>
          <w:szCs w:val="24"/>
          <w:u w:val="single"/>
        </w:rPr>
        <w:t>ius singulare</w:t>
      </w:r>
    </w:p>
    <w:p w:rsidR="004035F3" w:rsidRPr="002327A4" w:rsidRDefault="0074553F" w:rsidP="0074553F">
      <w:pPr>
        <w:pStyle w:val="PargrafodaLista"/>
        <w:tabs>
          <w:tab w:val="left" w:pos="993"/>
        </w:tabs>
        <w:ind w:left="993"/>
        <w:jc w:val="both"/>
        <w:rPr>
          <w:rFonts w:ascii="Garamond" w:hAnsi="Garamond"/>
          <w:sz w:val="24"/>
          <w:szCs w:val="24"/>
        </w:rPr>
      </w:pPr>
      <w:r>
        <w:rPr>
          <w:rFonts w:ascii="Garamond" w:hAnsi="Garamond"/>
          <w:sz w:val="24"/>
          <w:szCs w:val="24"/>
        </w:rPr>
        <w:lastRenderedPageBreak/>
        <w:t>S</w:t>
      </w:r>
      <w:r w:rsidR="00F23981" w:rsidRPr="002327A4">
        <w:rPr>
          <w:rFonts w:ascii="Garamond" w:hAnsi="Garamond"/>
          <w:sz w:val="24"/>
          <w:szCs w:val="24"/>
        </w:rPr>
        <w:t xml:space="preserve">e a regra excepcional constituir um </w:t>
      </w:r>
      <w:r w:rsidR="00F23981" w:rsidRPr="002327A4">
        <w:rPr>
          <w:rFonts w:ascii="Garamond" w:hAnsi="Garamond"/>
          <w:i/>
          <w:sz w:val="24"/>
          <w:szCs w:val="24"/>
        </w:rPr>
        <w:t>ius singulare</w:t>
      </w:r>
      <w:r w:rsidR="0091572D" w:rsidRPr="002327A4">
        <w:rPr>
          <w:rStyle w:val="Refdenotaderodap"/>
          <w:rFonts w:ascii="Garamond" w:hAnsi="Garamond"/>
          <w:sz w:val="24"/>
          <w:szCs w:val="24"/>
        </w:rPr>
        <w:footnoteReference w:id="5"/>
      </w:r>
      <w:r w:rsidR="00E62FB6">
        <w:rPr>
          <w:rFonts w:ascii="Garamond" w:hAnsi="Garamond"/>
          <w:sz w:val="24"/>
          <w:szCs w:val="24"/>
        </w:rPr>
        <w:t>, há proibição de analogia [</w:t>
      </w:r>
      <w:r w:rsidR="00F23981" w:rsidRPr="002327A4">
        <w:rPr>
          <w:rFonts w:ascii="Garamond" w:hAnsi="Garamond"/>
          <w:sz w:val="24"/>
          <w:szCs w:val="24"/>
        </w:rPr>
        <w:t>cfr. artigo 11.º do Código Civil</w:t>
      </w:r>
      <w:r w:rsidR="00E62FB6">
        <w:rPr>
          <w:rFonts w:ascii="Garamond" w:hAnsi="Garamond"/>
          <w:sz w:val="24"/>
          <w:szCs w:val="24"/>
        </w:rPr>
        <w:t xml:space="preserve"> (CC</w:t>
      </w:r>
      <w:r w:rsidR="00F23981" w:rsidRPr="002327A4">
        <w:rPr>
          <w:rFonts w:ascii="Garamond" w:hAnsi="Garamond"/>
          <w:sz w:val="24"/>
          <w:szCs w:val="24"/>
        </w:rPr>
        <w:t>)</w:t>
      </w:r>
      <w:r w:rsidR="00E62FB6">
        <w:rPr>
          <w:rFonts w:ascii="Garamond" w:hAnsi="Garamond"/>
          <w:sz w:val="24"/>
          <w:szCs w:val="24"/>
        </w:rPr>
        <w:t>]</w:t>
      </w:r>
      <w:r w:rsidR="00F23981" w:rsidRPr="002327A4">
        <w:rPr>
          <w:rFonts w:ascii="Garamond" w:hAnsi="Garamond"/>
          <w:sz w:val="24"/>
          <w:szCs w:val="24"/>
        </w:rPr>
        <w:t>.</w:t>
      </w:r>
      <w:r w:rsidR="004035F3" w:rsidRPr="002327A4">
        <w:rPr>
          <w:rFonts w:ascii="Garamond" w:hAnsi="Garamond"/>
          <w:sz w:val="24"/>
          <w:szCs w:val="24"/>
        </w:rPr>
        <w:t xml:space="preserve"> </w:t>
      </w:r>
      <w:r w:rsidR="00F23981" w:rsidRPr="002327A4">
        <w:rPr>
          <w:rFonts w:ascii="Garamond" w:hAnsi="Garamond"/>
          <w:sz w:val="24"/>
          <w:szCs w:val="24"/>
        </w:rPr>
        <w:t xml:space="preserve">Se não constituir, há que ponderar, em concreto, se pode ou não haver analogia. </w:t>
      </w:r>
    </w:p>
    <w:p w:rsidR="00F23981" w:rsidRPr="002327A4" w:rsidRDefault="00F23981" w:rsidP="0074553F">
      <w:pPr>
        <w:pStyle w:val="PargrafodaLista"/>
        <w:tabs>
          <w:tab w:val="left" w:pos="993"/>
        </w:tabs>
        <w:spacing w:after="0"/>
        <w:ind w:left="993"/>
        <w:contextualSpacing w:val="0"/>
        <w:jc w:val="both"/>
        <w:rPr>
          <w:rFonts w:ascii="Garamond" w:hAnsi="Garamond"/>
          <w:sz w:val="24"/>
          <w:szCs w:val="24"/>
        </w:rPr>
      </w:pPr>
      <w:r w:rsidRPr="002327A4">
        <w:rPr>
          <w:rFonts w:ascii="Garamond" w:hAnsi="Garamond"/>
          <w:sz w:val="24"/>
          <w:szCs w:val="24"/>
        </w:rPr>
        <w:t>Exemplo</w:t>
      </w:r>
      <w:r w:rsidR="004035F3" w:rsidRPr="002327A4">
        <w:rPr>
          <w:rFonts w:ascii="Garamond" w:hAnsi="Garamond"/>
          <w:sz w:val="24"/>
          <w:szCs w:val="24"/>
        </w:rPr>
        <w:t xml:space="preserve"> –</w:t>
      </w:r>
      <w:r w:rsidRPr="002327A4">
        <w:rPr>
          <w:rFonts w:ascii="Garamond" w:hAnsi="Garamond"/>
          <w:sz w:val="24"/>
          <w:szCs w:val="24"/>
        </w:rPr>
        <w:t xml:space="preserve"> </w:t>
      </w:r>
      <w:r w:rsidR="004035F3" w:rsidRPr="00E62FB6">
        <w:rPr>
          <w:rFonts w:ascii="Garamond" w:hAnsi="Garamond"/>
          <w:i/>
          <w:sz w:val="24"/>
          <w:szCs w:val="24"/>
        </w:rPr>
        <w:t>(i)</w:t>
      </w:r>
      <w:r w:rsidR="004035F3" w:rsidRPr="002327A4">
        <w:rPr>
          <w:rFonts w:ascii="Garamond" w:hAnsi="Garamond"/>
          <w:sz w:val="24"/>
          <w:szCs w:val="24"/>
        </w:rPr>
        <w:t xml:space="preserve"> é</w:t>
      </w:r>
      <w:r w:rsidRPr="002327A4">
        <w:rPr>
          <w:rFonts w:ascii="Garamond" w:hAnsi="Garamond"/>
          <w:sz w:val="24"/>
          <w:szCs w:val="24"/>
        </w:rPr>
        <w:t xml:space="preserve"> permitido estacionar aos domingos (regra excepcional); </w:t>
      </w:r>
      <w:r w:rsidR="004035F3" w:rsidRPr="00E62FB6">
        <w:rPr>
          <w:rFonts w:ascii="Garamond" w:hAnsi="Garamond"/>
          <w:i/>
          <w:sz w:val="24"/>
          <w:szCs w:val="24"/>
        </w:rPr>
        <w:t>(ii)</w:t>
      </w:r>
      <w:r w:rsidR="004035F3" w:rsidRPr="002327A4">
        <w:rPr>
          <w:rFonts w:ascii="Garamond" w:hAnsi="Garamond"/>
          <w:sz w:val="24"/>
          <w:szCs w:val="24"/>
        </w:rPr>
        <w:t xml:space="preserve"> é proibido estacionar nos dias úteis (regra geral): podemos extrair, com base num argumento </w:t>
      </w:r>
      <w:r w:rsidR="004035F3" w:rsidRPr="002327A4">
        <w:rPr>
          <w:rFonts w:ascii="Garamond" w:hAnsi="Garamond"/>
          <w:i/>
          <w:sz w:val="24"/>
          <w:szCs w:val="24"/>
        </w:rPr>
        <w:t>a simile</w:t>
      </w:r>
      <w:r w:rsidR="004035F3" w:rsidRPr="002327A4">
        <w:rPr>
          <w:rFonts w:ascii="Garamond" w:hAnsi="Garamond"/>
          <w:sz w:val="24"/>
          <w:szCs w:val="24"/>
        </w:rPr>
        <w:t xml:space="preserve">, que é também proibido estacionar aos feriados, e com base num argumento </w:t>
      </w:r>
      <w:r w:rsidR="004035F3" w:rsidRPr="002327A4">
        <w:rPr>
          <w:rFonts w:ascii="Garamond" w:hAnsi="Garamond"/>
          <w:i/>
          <w:sz w:val="24"/>
          <w:szCs w:val="24"/>
        </w:rPr>
        <w:t>a contrario</w:t>
      </w:r>
      <w:r w:rsidR="004035F3" w:rsidRPr="002327A4">
        <w:rPr>
          <w:rFonts w:ascii="Garamond" w:hAnsi="Garamond"/>
          <w:sz w:val="24"/>
          <w:szCs w:val="24"/>
        </w:rPr>
        <w:t xml:space="preserve"> que é permitido estacionar em todos os demais dias.</w:t>
      </w:r>
      <w:r w:rsidRPr="002327A4">
        <w:rPr>
          <w:rFonts w:ascii="Garamond" w:hAnsi="Garamond"/>
          <w:sz w:val="24"/>
          <w:szCs w:val="24"/>
        </w:rPr>
        <w:t xml:space="preserve"> </w:t>
      </w:r>
    </w:p>
    <w:p w:rsidR="00F23981" w:rsidRPr="002327A4" w:rsidRDefault="0074553F" w:rsidP="0074553F">
      <w:pPr>
        <w:pStyle w:val="PargrafodaLista"/>
        <w:numPr>
          <w:ilvl w:val="0"/>
          <w:numId w:val="11"/>
        </w:numPr>
        <w:tabs>
          <w:tab w:val="left" w:pos="993"/>
        </w:tabs>
        <w:spacing w:before="120" w:after="0"/>
        <w:ind w:left="993" w:hanging="425"/>
        <w:contextualSpacing w:val="0"/>
        <w:jc w:val="both"/>
        <w:rPr>
          <w:rFonts w:ascii="Garamond" w:hAnsi="Garamond"/>
          <w:sz w:val="24"/>
          <w:szCs w:val="24"/>
          <w:u w:val="single"/>
        </w:rPr>
      </w:pPr>
      <w:r>
        <w:rPr>
          <w:rFonts w:ascii="Garamond" w:hAnsi="Garamond"/>
          <w:sz w:val="24"/>
          <w:szCs w:val="24"/>
          <w:u w:val="single"/>
        </w:rPr>
        <w:t>N</w:t>
      </w:r>
      <w:r w:rsidR="00F23981" w:rsidRPr="002327A4">
        <w:rPr>
          <w:rFonts w:ascii="Garamond" w:hAnsi="Garamond"/>
          <w:sz w:val="24"/>
          <w:szCs w:val="24"/>
          <w:u w:val="single"/>
        </w:rPr>
        <w:t>ormas que contêm</w:t>
      </w:r>
      <w:r w:rsidR="004035F3" w:rsidRPr="002327A4">
        <w:rPr>
          <w:rFonts w:ascii="Garamond" w:hAnsi="Garamond"/>
          <w:sz w:val="24"/>
          <w:szCs w:val="24"/>
          <w:u w:val="single"/>
        </w:rPr>
        <w:t xml:space="preserve"> uma tipologia taxativa</w:t>
      </w:r>
      <w:r w:rsidR="00F23981" w:rsidRPr="002327A4">
        <w:rPr>
          <w:rFonts w:ascii="Garamond" w:hAnsi="Garamond"/>
          <w:sz w:val="24"/>
          <w:szCs w:val="24"/>
          <w:u w:val="single"/>
        </w:rPr>
        <w:t xml:space="preserve"> </w:t>
      </w:r>
    </w:p>
    <w:p w:rsidR="004035F3" w:rsidRPr="002327A4" w:rsidRDefault="0074553F" w:rsidP="0074553F">
      <w:pPr>
        <w:pStyle w:val="PargrafodaLista"/>
        <w:tabs>
          <w:tab w:val="left" w:pos="993"/>
        </w:tabs>
        <w:ind w:left="993"/>
        <w:jc w:val="both"/>
        <w:rPr>
          <w:rFonts w:ascii="Garamond" w:hAnsi="Garamond"/>
          <w:sz w:val="24"/>
          <w:szCs w:val="24"/>
        </w:rPr>
      </w:pPr>
      <w:r>
        <w:rPr>
          <w:rFonts w:ascii="Garamond" w:hAnsi="Garamond"/>
          <w:sz w:val="24"/>
          <w:szCs w:val="24"/>
        </w:rPr>
        <w:t>N</w:t>
      </w:r>
      <w:r w:rsidR="004035F3" w:rsidRPr="002327A4">
        <w:rPr>
          <w:rFonts w:ascii="Garamond" w:hAnsi="Garamond"/>
          <w:sz w:val="24"/>
          <w:szCs w:val="24"/>
        </w:rPr>
        <w:t>o caso de normas que consagrem tipologias taxativas, também podemos recorrer ao argumento a contrario.</w:t>
      </w:r>
    </w:p>
    <w:p w:rsidR="004035F3" w:rsidRPr="002327A4" w:rsidRDefault="004035F3" w:rsidP="0074553F">
      <w:pPr>
        <w:pStyle w:val="PargrafodaLista"/>
        <w:tabs>
          <w:tab w:val="left" w:pos="993"/>
        </w:tabs>
        <w:spacing w:after="0"/>
        <w:ind w:left="993"/>
        <w:contextualSpacing w:val="0"/>
        <w:jc w:val="both"/>
        <w:rPr>
          <w:rFonts w:ascii="Garamond" w:hAnsi="Garamond"/>
          <w:sz w:val="24"/>
          <w:szCs w:val="24"/>
        </w:rPr>
      </w:pPr>
      <w:r w:rsidRPr="002327A4">
        <w:rPr>
          <w:rFonts w:ascii="Garamond" w:hAnsi="Garamond"/>
          <w:sz w:val="24"/>
          <w:szCs w:val="24"/>
        </w:rPr>
        <w:t>Exemplo – como apenas pode ser considerado como crime a conduta tipificada por lei, nenhuma outra conduta pode ser punida por lei.</w:t>
      </w:r>
    </w:p>
    <w:p w:rsidR="00F23981" w:rsidRPr="002327A4" w:rsidRDefault="00F23981" w:rsidP="0074553F">
      <w:pPr>
        <w:pStyle w:val="PargrafodaLista"/>
        <w:numPr>
          <w:ilvl w:val="0"/>
          <w:numId w:val="11"/>
        </w:numPr>
        <w:tabs>
          <w:tab w:val="left" w:pos="1134"/>
        </w:tabs>
        <w:spacing w:before="120" w:after="0"/>
        <w:ind w:left="993" w:hanging="426"/>
        <w:contextualSpacing w:val="0"/>
        <w:jc w:val="both"/>
        <w:rPr>
          <w:rFonts w:ascii="Garamond" w:hAnsi="Garamond"/>
          <w:sz w:val="24"/>
          <w:szCs w:val="24"/>
          <w:u w:val="single"/>
        </w:rPr>
      </w:pPr>
      <w:r w:rsidRPr="002327A4">
        <w:rPr>
          <w:rFonts w:ascii="Garamond" w:hAnsi="Garamond"/>
          <w:sz w:val="24"/>
          <w:szCs w:val="24"/>
          <w:u w:val="single"/>
        </w:rPr>
        <w:t xml:space="preserve">casos de interpretação restritiva da norma </w:t>
      </w:r>
    </w:p>
    <w:p w:rsidR="00F23981" w:rsidRPr="002327A4" w:rsidRDefault="0074553F" w:rsidP="0074553F">
      <w:pPr>
        <w:pStyle w:val="PargrafodaLista"/>
        <w:tabs>
          <w:tab w:val="left" w:pos="993"/>
        </w:tabs>
        <w:ind w:left="993"/>
        <w:jc w:val="both"/>
        <w:rPr>
          <w:rFonts w:ascii="Garamond" w:hAnsi="Garamond"/>
          <w:sz w:val="24"/>
          <w:szCs w:val="24"/>
        </w:rPr>
      </w:pPr>
      <w:r>
        <w:rPr>
          <w:rFonts w:ascii="Garamond" w:hAnsi="Garamond"/>
          <w:sz w:val="24"/>
          <w:szCs w:val="24"/>
        </w:rPr>
        <w:t>A</w:t>
      </w:r>
      <w:r w:rsidR="004035F3" w:rsidRPr="002327A4">
        <w:rPr>
          <w:rFonts w:ascii="Garamond" w:hAnsi="Garamond"/>
          <w:sz w:val="24"/>
          <w:szCs w:val="24"/>
        </w:rPr>
        <w:t xml:space="preserve"> interpretação restritiva da fonte</w:t>
      </w:r>
      <w:r w:rsidR="00E62FB6">
        <w:rPr>
          <w:rFonts w:ascii="Garamond" w:hAnsi="Garamond"/>
          <w:sz w:val="24"/>
          <w:szCs w:val="24"/>
        </w:rPr>
        <w:t xml:space="preserve"> (por ex., </w:t>
      </w:r>
      <w:r>
        <w:rPr>
          <w:rFonts w:ascii="Garamond" w:hAnsi="Garamond"/>
          <w:sz w:val="24"/>
          <w:szCs w:val="24"/>
        </w:rPr>
        <w:t xml:space="preserve">da </w:t>
      </w:r>
      <w:r w:rsidR="00E62FB6">
        <w:rPr>
          <w:rFonts w:ascii="Garamond" w:hAnsi="Garamond"/>
          <w:sz w:val="24"/>
          <w:szCs w:val="24"/>
        </w:rPr>
        <w:t>lei)</w:t>
      </w:r>
      <w:r w:rsidR="004035F3" w:rsidRPr="002327A4">
        <w:rPr>
          <w:rFonts w:ascii="Garamond" w:hAnsi="Garamond"/>
          <w:sz w:val="24"/>
          <w:szCs w:val="24"/>
        </w:rPr>
        <w:t xml:space="preserve">, sempre que não implique o recurso à analogia, também permite o recurso ao argumento </w:t>
      </w:r>
      <w:r w:rsidR="004035F3" w:rsidRPr="00E62FB6">
        <w:rPr>
          <w:rFonts w:ascii="Garamond" w:hAnsi="Garamond"/>
          <w:i/>
          <w:sz w:val="24"/>
          <w:szCs w:val="24"/>
        </w:rPr>
        <w:t>a contrario</w:t>
      </w:r>
      <w:r w:rsidR="004035F3" w:rsidRPr="002327A4">
        <w:rPr>
          <w:rFonts w:ascii="Garamond" w:hAnsi="Garamond"/>
          <w:sz w:val="24"/>
          <w:szCs w:val="24"/>
        </w:rPr>
        <w:t>.</w:t>
      </w:r>
    </w:p>
    <w:p w:rsidR="004035F3" w:rsidRPr="002327A4" w:rsidRDefault="004035F3" w:rsidP="0074553F">
      <w:pPr>
        <w:pStyle w:val="PargrafodaLista"/>
        <w:tabs>
          <w:tab w:val="left" w:pos="993"/>
        </w:tabs>
        <w:ind w:left="993"/>
        <w:jc w:val="both"/>
        <w:rPr>
          <w:rFonts w:ascii="Garamond" w:hAnsi="Garamond"/>
          <w:sz w:val="24"/>
          <w:szCs w:val="24"/>
        </w:rPr>
      </w:pPr>
      <w:r w:rsidRPr="002327A4">
        <w:rPr>
          <w:rFonts w:ascii="Garamond" w:hAnsi="Garamond"/>
          <w:sz w:val="24"/>
          <w:szCs w:val="24"/>
        </w:rPr>
        <w:t>Exemplo – a interpretação restritiva da lei L</w:t>
      </w:r>
      <w:r w:rsidRPr="002327A4">
        <w:rPr>
          <w:rFonts w:ascii="Garamond" w:hAnsi="Garamond"/>
          <w:sz w:val="24"/>
          <w:szCs w:val="24"/>
          <w:vertAlign w:val="subscript"/>
        </w:rPr>
        <w:t>1</w:t>
      </w:r>
      <w:r w:rsidRPr="002327A4">
        <w:rPr>
          <w:rFonts w:ascii="Garamond" w:hAnsi="Garamond"/>
          <w:sz w:val="24"/>
          <w:szCs w:val="24"/>
        </w:rPr>
        <w:t>, através da qual se conclui que ela se aplica ao Facto F</w:t>
      </w:r>
      <w:r w:rsidRPr="002327A4">
        <w:rPr>
          <w:rFonts w:ascii="Garamond" w:hAnsi="Garamond"/>
          <w:sz w:val="24"/>
          <w:szCs w:val="24"/>
          <w:vertAlign w:val="subscript"/>
        </w:rPr>
        <w:t>1</w:t>
      </w:r>
      <w:r w:rsidRPr="002327A4">
        <w:rPr>
          <w:rFonts w:ascii="Garamond" w:hAnsi="Garamond"/>
          <w:sz w:val="24"/>
          <w:szCs w:val="24"/>
        </w:rPr>
        <w:t>, mas não ao facto F</w:t>
      </w:r>
      <w:r w:rsidRPr="002327A4">
        <w:rPr>
          <w:rFonts w:ascii="Garamond" w:hAnsi="Garamond"/>
          <w:sz w:val="24"/>
          <w:szCs w:val="24"/>
          <w:vertAlign w:val="subscript"/>
        </w:rPr>
        <w:t>2</w:t>
      </w:r>
      <w:r w:rsidRPr="002327A4">
        <w:rPr>
          <w:rFonts w:ascii="Garamond" w:hAnsi="Garamond"/>
          <w:sz w:val="24"/>
          <w:szCs w:val="24"/>
        </w:rPr>
        <w:t>, implica que, na falta de outra norma aplicável, se aplica ao facto F</w:t>
      </w:r>
      <w:r w:rsidRPr="002327A4">
        <w:rPr>
          <w:rFonts w:ascii="Garamond" w:hAnsi="Garamond"/>
          <w:sz w:val="24"/>
          <w:szCs w:val="24"/>
          <w:vertAlign w:val="subscript"/>
        </w:rPr>
        <w:t>2</w:t>
      </w:r>
      <w:r w:rsidRPr="002327A4">
        <w:rPr>
          <w:rFonts w:ascii="Garamond" w:hAnsi="Garamond"/>
          <w:sz w:val="24"/>
          <w:szCs w:val="24"/>
        </w:rPr>
        <w:t xml:space="preserve"> uma norma de sentido contrário àquela que se retira da Lei</w:t>
      </w:r>
      <w:r w:rsidRPr="002327A4">
        <w:rPr>
          <w:rFonts w:ascii="Garamond" w:hAnsi="Garamond"/>
          <w:sz w:val="24"/>
          <w:szCs w:val="24"/>
          <w:vertAlign w:val="subscript"/>
        </w:rPr>
        <w:t>1</w:t>
      </w:r>
      <w:r w:rsidRPr="002327A4">
        <w:rPr>
          <w:rFonts w:ascii="Garamond" w:hAnsi="Garamond"/>
          <w:sz w:val="24"/>
          <w:szCs w:val="24"/>
        </w:rPr>
        <w:t>.</w:t>
      </w:r>
    </w:p>
    <w:p w:rsidR="005A5BBD" w:rsidRPr="002327A4" w:rsidRDefault="005A5BBD" w:rsidP="0074553F">
      <w:pPr>
        <w:pStyle w:val="PargrafodaLista"/>
        <w:tabs>
          <w:tab w:val="left" w:pos="993"/>
        </w:tabs>
        <w:ind w:left="993"/>
        <w:jc w:val="both"/>
        <w:rPr>
          <w:rFonts w:ascii="Garamond" w:hAnsi="Garamond"/>
          <w:sz w:val="24"/>
          <w:szCs w:val="24"/>
        </w:rPr>
      </w:pPr>
      <w:r w:rsidRPr="002327A4">
        <w:rPr>
          <w:rFonts w:ascii="Garamond" w:hAnsi="Garamond"/>
          <w:sz w:val="24"/>
          <w:szCs w:val="24"/>
        </w:rPr>
        <w:t xml:space="preserve">O artigo 50.º, n.º 1, al. </w:t>
      </w:r>
      <w:r w:rsidRPr="002327A4">
        <w:rPr>
          <w:rFonts w:ascii="Garamond" w:hAnsi="Garamond"/>
          <w:i/>
          <w:sz w:val="24"/>
          <w:szCs w:val="24"/>
        </w:rPr>
        <w:t>c)</w:t>
      </w:r>
      <w:r w:rsidRPr="002327A4">
        <w:rPr>
          <w:rFonts w:ascii="Garamond" w:hAnsi="Garamond"/>
          <w:sz w:val="24"/>
          <w:szCs w:val="24"/>
        </w:rPr>
        <w:t xml:space="preserve">, do Código da Estrada </w:t>
      </w:r>
      <w:r w:rsidR="008510CF" w:rsidRPr="002327A4">
        <w:rPr>
          <w:rFonts w:ascii="Garamond" w:hAnsi="Garamond"/>
          <w:sz w:val="24"/>
          <w:szCs w:val="24"/>
        </w:rPr>
        <w:t>estabelece que é proibido o estacionamento nos lugares por onde se faça o acesso de pessoas ou veículos a propriedades, a parques ou a lugares de estacionamento. Isto significa que, por ex., não é permitido estacionar impedindo acesso a garagens; mas, como é evidente, aquela regra não se aplica aos proprietários das garagens.</w:t>
      </w:r>
      <w:r w:rsidRPr="002327A4">
        <w:rPr>
          <w:rFonts w:ascii="Garamond" w:hAnsi="Garamond"/>
          <w:sz w:val="24"/>
          <w:szCs w:val="24"/>
        </w:rPr>
        <w:t xml:space="preserve"> </w:t>
      </w:r>
      <w:r w:rsidR="008510CF" w:rsidRPr="002327A4">
        <w:rPr>
          <w:rFonts w:ascii="Garamond" w:hAnsi="Garamond"/>
          <w:sz w:val="24"/>
          <w:szCs w:val="24"/>
        </w:rPr>
        <w:t>Logo, esta norma não abrange todas as pessoas, menos os proprietários das garagens ou lugares de estacionamento.</w:t>
      </w:r>
    </w:p>
    <w:p w:rsidR="008510CF" w:rsidRPr="002327A4" w:rsidRDefault="008510CF" w:rsidP="0074553F">
      <w:pPr>
        <w:pStyle w:val="PargrafodaLista"/>
        <w:tabs>
          <w:tab w:val="left" w:pos="993"/>
        </w:tabs>
        <w:ind w:left="993"/>
        <w:jc w:val="both"/>
        <w:rPr>
          <w:rFonts w:ascii="Garamond" w:hAnsi="Garamond"/>
          <w:sz w:val="24"/>
          <w:szCs w:val="24"/>
        </w:rPr>
      </w:pPr>
      <w:r w:rsidRPr="002327A4">
        <w:rPr>
          <w:rFonts w:ascii="Garamond" w:hAnsi="Garamond"/>
          <w:sz w:val="24"/>
          <w:szCs w:val="24"/>
        </w:rPr>
        <w:t xml:space="preserve">O artigo estabelece, assim, uma norma de </w:t>
      </w:r>
      <w:r w:rsidRPr="0074553F">
        <w:rPr>
          <w:rFonts w:ascii="Garamond" w:hAnsi="Garamond"/>
          <w:sz w:val="24"/>
          <w:szCs w:val="24"/>
          <w:u w:val="single"/>
        </w:rPr>
        <w:t>proibição</w:t>
      </w:r>
      <w:r w:rsidRPr="002327A4">
        <w:rPr>
          <w:rFonts w:ascii="Garamond" w:hAnsi="Garamond"/>
          <w:sz w:val="24"/>
          <w:szCs w:val="24"/>
        </w:rPr>
        <w:t xml:space="preserve"> de estacionamento em frente a garagens para a maioria das pessoas; e, </w:t>
      </w:r>
      <w:r w:rsidRPr="002327A4">
        <w:rPr>
          <w:rFonts w:ascii="Garamond" w:hAnsi="Garamond"/>
          <w:i/>
          <w:sz w:val="24"/>
          <w:szCs w:val="24"/>
        </w:rPr>
        <w:t>a contrario</w:t>
      </w:r>
      <w:r w:rsidRPr="002327A4">
        <w:rPr>
          <w:rFonts w:ascii="Garamond" w:hAnsi="Garamond"/>
          <w:sz w:val="24"/>
          <w:szCs w:val="24"/>
        </w:rPr>
        <w:t xml:space="preserve">, pode inferir-se uma </w:t>
      </w:r>
      <w:r w:rsidRPr="002327A4">
        <w:rPr>
          <w:rFonts w:ascii="Garamond" w:hAnsi="Garamond"/>
          <w:sz w:val="24"/>
          <w:szCs w:val="24"/>
        </w:rPr>
        <w:lastRenderedPageBreak/>
        <w:t xml:space="preserve">norma que </w:t>
      </w:r>
      <w:r w:rsidRPr="0074553F">
        <w:rPr>
          <w:rFonts w:ascii="Garamond" w:hAnsi="Garamond"/>
          <w:sz w:val="24"/>
          <w:szCs w:val="24"/>
          <w:u w:val="single"/>
        </w:rPr>
        <w:t>permite</w:t>
      </w:r>
      <w:r w:rsidRPr="002327A4">
        <w:rPr>
          <w:rFonts w:ascii="Garamond" w:hAnsi="Garamond"/>
          <w:sz w:val="24"/>
          <w:szCs w:val="24"/>
        </w:rPr>
        <w:t xml:space="preserve"> o estacionamento em frente a garagens, pelos seus proprietários. </w:t>
      </w:r>
    </w:p>
    <w:p w:rsidR="00D02543" w:rsidRPr="002327A4" w:rsidRDefault="00D02543" w:rsidP="002327A4">
      <w:pPr>
        <w:pStyle w:val="PargrafodaLista"/>
        <w:ind w:left="851" w:hanging="425"/>
        <w:jc w:val="both"/>
        <w:rPr>
          <w:rFonts w:ascii="Garamond" w:hAnsi="Garamond"/>
          <w:b/>
          <w:sz w:val="24"/>
          <w:szCs w:val="24"/>
        </w:rPr>
      </w:pPr>
    </w:p>
    <w:p w:rsidR="00930243" w:rsidRPr="002327A4" w:rsidRDefault="000C684F" w:rsidP="0074553F">
      <w:pPr>
        <w:pStyle w:val="PargrafodaLista"/>
        <w:numPr>
          <w:ilvl w:val="1"/>
          <w:numId w:val="4"/>
        </w:numPr>
        <w:spacing w:after="0"/>
        <w:ind w:left="992" w:hanging="425"/>
        <w:contextualSpacing w:val="0"/>
        <w:jc w:val="both"/>
        <w:rPr>
          <w:rFonts w:ascii="Garamond" w:hAnsi="Garamond"/>
          <w:b/>
          <w:sz w:val="24"/>
          <w:szCs w:val="24"/>
        </w:rPr>
      </w:pPr>
      <w:r w:rsidRPr="0074553F">
        <w:rPr>
          <w:rFonts w:ascii="Garamond" w:hAnsi="Garamond"/>
          <w:b/>
          <w:smallCaps/>
          <w:sz w:val="24"/>
          <w:szCs w:val="24"/>
        </w:rPr>
        <w:t>Sentido fraco</w:t>
      </w:r>
      <w:r w:rsidR="00930243" w:rsidRPr="002327A4">
        <w:rPr>
          <w:rFonts w:ascii="Garamond" w:hAnsi="Garamond"/>
          <w:b/>
          <w:sz w:val="24"/>
          <w:szCs w:val="24"/>
        </w:rPr>
        <w:t xml:space="preserve"> – </w:t>
      </w:r>
      <w:r w:rsidR="00930243" w:rsidRPr="002327A4">
        <w:rPr>
          <w:rFonts w:ascii="Garamond" w:hAnsi="Garamond"/>
          <w:sz w:val="24"/>
          <w:szCs w:val="24"/>
        </w:rPr>
        <w:t>a sua base é o silêncio legal; baseia-se numa relação de alternatividade entre dois contrários</w:t>
      </w:r>
      <w:r w:rsidR="00266150" w:rsidRPr="002327A4">
        <w:rPr>
          <w:rFonts w:ascii="Garamond" w:hAnsi="Garamond"/>
          <w:sz w:val="24"/>
          <w:szCs w:val="24"/>
        </w:rPr>
        <w:t>.</w:t>
      </w:r>
    </w:p>
    <w:p w:rsidR="00930243" w:rsidRPr="002327A4" w:rsidRDefault="00930243" w:rsidP="0074553F">
      <w:pPr>
        <w:pStyle w:val="PargrafodaLista"/>
        <w:tabs>
          <w:tab w:val="left" w:pos="1134"/>
        </w:tabs>
        <w:spacing w:before="120" w:after="0"/>
        <w:ind w:left="0" w:firstLine="567"/>
        <w:contextualSpacing w:val="0"/>
        <w:jc w:val="both"/>
        <w:rPr>
          <w:rFonts w:ascii="Garamond" w:hAnsi="Garamond"/>
          <w:sz w:val="24"/>
          <w:szCs w:val="24"/>
        </w:rPr>
      </w:pPr>
      <w:r w:rsidRPr="002327A4">
        <w:rPr>
          <w:rFonts w:ascii="Garamond" w:hAnsi="Garamond"/>
          <w:sz w:val="24"/>
          <w:szCs w:val="24"/>
        </w:rPr>
        <w:t>Se a norma N</w:t>
      </w:r>
      <w:r w:rsidRPr="002327A4">
        <w:rPr>
          <w:rFonts w:ascii="Garamond" w:hAnsi="Garamond"/>
          <w:sz w:val="24"/>
          <w:szCs w:val="24"/>
          <w:vertAlign w:val="subscript"/>
        </w:rPr>
        <w:t>1</w:t>
      </w:r>
      <w:r w:rsidRPr="002327A4">
        <w:rPr>
          <w:rFonts w:ascii="Garamond" w:hAnsi="Garamond"/>
          <w:sz w:val="24"/>
          <w:szCs w:val="24"/>
        </w:rPr>
        <w:t xml:space="preserve"> determina que apenas o Facto F</w:t>
      </w:r>
      <w:r w:rsidRPr="002327A4">
        <w:rPr>
          <w:rFonts w:ascii="Garamond" w:hAnsi="Garamond"/>
          <w:sz w:val="24"/>
          <w:szCs w:val="24"/>
          <w:vertAlign w:val="subscript"/>
        </w:rPr>
        <w:t>1</w:t>
      </w:r>
      <w:r w:rsidRPr="002327A4">
        <w:rPr>
          <w:rFonts w:ascii="Garamond" w:hAnsi="Garamond"/>
          <w:sz w:val="24"/>
          <w:szCs w:val="24"/>
        </w:rPr>
        <w:t xml:space="preserve"> produz o Efeito jurídico E</w:t>
      </w:r>
      <w:r w:rsidRPr="002327A4">
        <w:rPr>
          <w:rFonts w:ascii="Garamond" w:hAnsi="Garamond"/>
          <w:sz w:val="24"/>
          <w:szCs w:val="24"/>
          <w:vertAlign w:val="subscript"/>
        </w:rPr>
        <w:t>1</w:t>
      </w:r>
      <w:r w:rsidRPr="002327A4">
        <w:rPr>
          <w:rFonts w:ascii="Garamond" w:hAnsi="Garamond"/>
          <w:sz w:val="24"/>
          <w:szCs w:val="24"/>
        </w:rPr>
        <w:t>, isto significa que o Facto F</w:t>
      </w:r>
      <w:r w:rsidRPr="002327A4">
        <w:rPr>
          <w:rFonts w:ascii="Garamond" w:hAnsi="Garamond"/>
          <w:sz w:val="24"/>
          <w:szCs w:val="24"/>
          <w:vertAlign w:val="subscript"/>
        </w:rPr>
        <w:t>2</w:t>
      </w:r>
      <w:r w:rsidRPr="002327A4">
        <w:rPr>
          <w:rFonts w:ascii="Garamond" w:hAnsi="Garamond"/>
          <w:sz w:val="24"/>
          <w:szCs w:val="24"/>
        </w:rPr>
        <w:t>, que não é subsumível à norma N</w:t>
      </w:r>
      <w:r w:rsidRPr="002327A4">
        <w:rPr>
          <w:rFonts w:ascii="Garamond" w:hAnsi="Garamond"/>
          <w:sz w:val="24"/>
          <w:szCs w:val="24"/>
          <w:vertAlign w:val="subscript"/>
        </w:rPr>
        <w:t>1</w:t>
      </w:r>
      <w:r w:rsidRPr="002327A4">
        <w:rPr>
          <w:rFonts w:ascii="Garamond" w:hAnsi="Garamond"/>
          <w:sz w:val="24"/>
          <w:szCs w:val="24"/>
        </w:rPr>
        <w:t>, não pode produzir o Efeito E</w:t>
      </w:r>
      <w:r w:rsidRPr="002327A4">
        <w:rPr>
          <w:rFonts w:ascii="Garamond" w:hAnsi="Garamond"/>
          <w:sz w:val="24"/>
          <w:szCs w:val="24"/>
          <w:vertAlign w:val="subscript"/>
        </w:rPr>
        <w:t>1</w:t>
      </w:r>
      <w:r w:rsidRPr="002327A4">
        <w:rPr>
          <w:rFonts w:ascii="Garamond" w:hAnsi="Garamond"/>
          <w:sz w:val="24"/>
          <w:szCs w:val="24"/>
        </w:rPr>
        <w:t>.</w:t>
      </w:r>
    </w:p>
    <w:p w:rsidR="000C684F" w:rsidRPr="002327A4" w:rsidRDefault="00930243" w:rsidP="0074553F">
      <w:pPr>
        <w:pStyle w:val="PargrafodaLista"/>
        <w:tabs>
          <w:tab w:val="left" w:pos="1134"/>
        </w:tabs>
        <w:ind w:left="0" w:firstLine="567"/>
        <w:jc w:val="both"/>
        <w:rPr>
          <w:rFonts w:ascii="Garamond" w:hAnsi="Garamond"/>
          <w:sz w:val="24"/>
          <w:szCs w:val="24"/>
        </w:rPr>
      </w:pPr>
      <w:r w:rsidRPr="002327A4">
        <w:rPr>
          <w:rFonts w:ascii="Garamond" w:hAnsi="Garamond"/>
          <w:sz w:val="24"/>
          <w:szCs w:val="24"/>
        </w:rPr>
        <w:t xml:space="preserve">Exemplo – </w:t>
      </w:r>
      <w:r w:rsidR="002327A4">
        <w:rPr>
          <w:rFonts w:ascii="Garamond" w:hAnsi="Garamond"/>
          <w:sz w:val="24"/>
          <w:szCs w:val="24"/>
        </w:rPr>
        <w:t>artigo 294.º do CC; em princí</w:t>
      </w:r>
      <w:r w:rsidR="002327A4" w:rsidRPr="002327A4">
        <w:rPr>
          <w:rFonts w:ascii="Garamond" w:hAnsi="Garamond"/>
          <w:sz w:val="24"/>
          <w:szCs w:val="24"/>
        </w:rPr>
        <w:t>pio</w:t>
      </w:r>
      <w:r w:rsidRPr="002327A4">
        <w:rPr>
          <w:rFonts w:ascii="Garamond" w:hAnsi="Garamond"/>
          <w:sz w:val="24"/>
          <w:szCs w:val="24"/>
        </w:rPr>
        <w:t>, os negócios jurídicos celebrados contra disposição imperativa são nulos; desta norma resultaria a norma contrária de acordo com a qual todos os negócios que respeitem as normas imperativas são válidos (ou, pelo menos, não são nulos).</w:t>
      </w:r>
    </w:p>
    <w:sectPr w:rsidR="000C684F" w:rsidRPr="002327A4" w:rsidSect="002327A4">
      <w:footerReference w:type="default" r:id="rId8"/>
      <w:pgSz w:w="11906" w:h="16838"/>
      <w:pgMar w:top="1135"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806" w:rsidRDefault="003F0806" w:rsidP="0091572D">
      <w:pPr>
        <w:spacing w:after="0" w:line="240" w:lineRule="auto"/>
      </w:pPr>
      <w:r>
        <w:separator/>
      </w:r>
    </w:p>
  </w:endnote>
  <w:endnote w:type="continuationSeparator" w:id="1">
    <w:p w:rsidR="003F0806" w:rsidRDefault="003F0806" w:rsidP="00915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13853"/>
      <w:docPartObj>
        <w:docPartGallery w:val="Page Numbers (Bottom of Page)"/>
        <w:docPartUnique/>
      </w:docPartObj>
    </w:sdtPr>
    <w:sdtContent>
      <w:p w:rsidR="00456C97" w:rsidRDefault="00456C97">
        <w:pPr>
          <w:pStyle w:val="Rodap"/>
          <w:jc w:val="right"/>
        </w:pPr>
        <w:fldSimple w:instr=" PAGE   \* MERGEFORMAT ">
          <w:r w:rsidR="007330C1">
            <w:rPr>
              <w:noProof/>
            </w:rPr>
            <w:t>1</w:t>
          </w:r>
        </w:fldSimple>
      </w:p>
    </w:sdtContent>
  </w:sdt>
  <w:p w:rsidR="00456C97" w:rsidRDefault="00456C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806" w:rsidRDefault="003F0806" w:rsidP="0091572D">
      <w:pPr>
        <w:spacing w:after="0" w:line="240" w:lineRule="auto"/>
      </w:pPr>
      <w:r>
        <w:separator/>
      </w:r>
    </w:p>
  </w:footnote>
  <w:footnote w:type="continuationSeparator" w:id="1">
    <w:p w:rsidR="003F0806" w:rsidRDefault="003F0806" w:rsidP="0091572D">
      <w:pPr>
        <w:spacing w:after="0" w:line="240" w:lineRule="auto"/>
      </w:pPr>
      <w:r>
        <w:continuationSeparator/>
      </w:r>
    </w:p>
  </w:footnote>
  <w:footnote w:id="2">
    <w:p w:rsidR="00456C97" w:rsidRPr="00956C93" w:rsidRDefault="00456C97" w:rsidP="00956C93">
      <w:pPr>
        <w:pStyle w:val="Textodenotaderodap"/>
        <w:ind w:firstLine="567"/>
        <w:rPr>
          <w:rFonts w:ascii="Garamond" w:hAnsi="Garamond"/>
        </w:rPr>
      </w:pPr>
      <w:r w:rsidRPr="00956C93">
        <w:rPr>
          <w:rStyle w:val="Refdenotaderodap"/>
          <w:rFonts w:ascii="Garamond" w:hAnsi="Garamond"/>
        </w:rPr>
        <w:footnoteRef/>
      </w:r>
      <w:r w:rsidRPr="00956C93">
        <w:rPr>
          <w:rFonts w:ascii="Garamond" w:hAnsi="Garamond"/>
        </w:rPr>
        <w:t xml:space="preserve"> Cfr. </w:t>
      </w:r>
      <w:r w:rsidRPr="00956C93">
        <w:rPr>
          <w:rFonts w:ascii="Garamond" w:hAnsi="Garamond"/>
          <w:smallCaps/>
        </w:rPr>
        <w:t>Oliveira Ascensão</w:t>
      </w:r>
      <w:r w:rsidRPr="00956C93">
        <w:rPr>
          <w:rFonts w:ascii="Garamond" w:hAnsi="Garamond"/>
        </w:rPr>
        <w:t xml:space="preserve">, </w:t>
      </w:r>
      <w:r w:rsidR="00956C93" w:rsidRPr="00956C93">
        <w:rPr>
          <w:rFonts w:ascii="Garamond" w:hAnsi="Garamond"/>
          <w:i/>
        </w:rPr>
        <w:t>O Direito – Introdução e teoria geral</w:t>
      </w:r>
      <w:r w:rsidR="00956C93" w:rsidRPr="00956C93">
        <w:rPr>
          <w:rFonts w:ascii="Garamond" w:hAnsi="Garamond"/>
        </w:rPr>
        <w:t xml:space="preserve">, 13ª Ed., Almedina, Coimbra, 2011, p. 469. </w:t>
      </w:r>
    </w:p>
  </w:footnote>
  <w:footnote w:id="3">
    <w:p w:rsidR="00956C93" w:rsidRPr="00956C93" w:rsidRDefault="00956C93" w:rsidP="00956C93">
      <w:pPr>
        <w:pStyle w:val="Textodenotaderodap"/>
        <w:ind w:firstLine="567"/>
        <w:rPr>
          <w:rFonts w:ascii="Garamond" w:hAnsi="Garamond"/>
        </w:rPr>
      </w:pPr>
      <w:r w:rsidRPr="00956C93">
        <w:rPr>
          <w:rStyle w:val="Refdenotaderodap"/>
          <w:rFonts w:ascii="Garamond" w:hAnsi="Garamond"/>
        </w:rPr>
        <w:footnoteRef/>
      </w:r>
      <w:r w:rsidRPr="00956C93">
        <w:rPr>
          <w:rFonts w:ascii="Garamond" w:hAnsi="Garamond"/>
        </w:rPr>
        <w:t xml:space="preserve"> Cfr. </w:t>
      </w:r>
      <w:r w:rsidRPr="00956C93">
        <w:rPr>
          <w:rFonts w:ascii="Garamond" w:hAnsi="Garamond"/>
          <w:smallCaps/>
        </w:rPr>
        <w:t>Oliveira Ascensão</w:t>
      </w:r>
      <w:r w:rsidRPr="00956C93">
        <w:rPr>
          <w:rFonts w:ascii="Garamond" w:hAnsi="Garamond"/>
        </w:rPr>
        <w:t xml:space="preserve">, </w:t>
      </w:r>
      <w:r w:rsidRPr="00956C93">
        <w:rPr>
          <w:rFonts w:ascii="Garamond" w:hAnsi="Garamond"/>
          <w:i/>
        </w:rPr>
        <w:t>O Direito</w:t>
      </w:r>
      <w:r>
        <w:rPr>
          <w:rFonts w:ascii="Garamond" w:hAnsi="Garamond"/>
          <w:i/>
        </w:rPr>
        <w:t>…</w:t>
      </w:r>
      <w:r w:rsidRPr="00956C93">
        <w:rPr>
          <w:rFonts w:ascii="Garamond" w:hAnsi="Garamond"/>
        </w:rPr>
        <w:t xml:space="preserve">, </w:t>
      </w:r>
      <w:r>
        <w:rPr>
          <w:rFonts w:ascii="Garamond" w:hAnsi="Garamond"/>
        </w:rPr>
        <w:t>cit.</w:t>
      </w:r>
      <w:r w:rsidRPr="00956C93">
        <w:rPr>
          <w:rFonts w:ascii="Garamond" w:hAnsi="Garamond"/>
        </w:rPr>
        <w:t xml:space="preserve">, p. 469. </w:t>
      </w:r>
    </w:p>
  </w:footnote>
  <w:footnote w:id="4">
    <w:p w:rsidR="003D1281" w:rsidRPr="00956C93" w:rsidRDefault="003D1281" w:rsidP="003D1281">
      <w:pPr>
        <w:pStyle w:val="Textodenotaderodap"/>
        <w:ind w:firstLine="567"/>
        <w:rPr>
          <w:rFonts w:ascii="Garamond" w:hAnsi="Garamond"/>
        </w:rPr>
      </w:pPr>
      <w:r w:rsidRPr="00956C93">
        <w:rPr>
          <w:rStyle w:val="Refdenotaderodap"/>
          <w:rFonts w:ascii="Garamond" w:hAnsi="Garamond"/>
        </w:rPr>
        <w:footnoteRef/>
      </w:r>
      <w:r w:rsidRPr="00956C93">
        <w:rPr>
          <w:rFonts w:ascii="Garamond" w:hAnsi="Garamond"/>
        </w:rPr>
        <w:t xml:space="preserve"> Cfr. </w:t>
      </w:r>
      <w:r>
        <w:rPr>
          <w:rFonts w:ascii="Garamond" w:hAnsi="Garamond"/>
          <w:smallCaps/>
        </w:rPr>
        <w:t xml:space="preserve">Miguel </w:t>
      </w:r>
      <w:r w:rsidRPr="000C684F">
        <w:rPr>
          <w:rFonts w:ascii="Garamond" w:hAnsi="Garamond"/>
          <w:smallCaps/>
        </w:rPr>
        <w:t xml:space="preserve">Teixeira de Sousa, </w:t>
      </w:r>
      <w:r w:rsidRPr="000C684F">
        <w:rPr>
          <w:rFonts w:ascii="Garamond" w:hAnsi="Garamond"/>
          <w:i/>
        </w:rPr>
        <w:t>Introdução ao Direito</w:t>
      </w:r>
      <w:r>
        <w:rPr>
          <w:rFonts w:ascii="Garamond" w:hAnsi="Garamond"/>
        </w:rPr>
        <w:t>, Almedina, Coimbra, 2012, p</w:t>
      </w:r>
      <w:r w:rsidRPr="000C684F">
        <w:rPr>
          <w:rFonts w:ascii="Garamond" w:hAnsi="Garamond"/>
        </w:rPr>
        <w:t xml:space="preserve">. </w:t>
      </w:r>
      <w:r>
        <w:rPr>
          <w:rFonts w:ascii="Garamond" w:hAnsi="Garamond"/>
        </w:rPr>
        <w:t>435</w:t>
      </w:r>
      <w:r w:rsidRPr="00956C93">
        <w:rPr>
          <w:rFonts w:ascii="Garamond" w:hAnsi="Garamond"/>
        </w:rPr>
        <w:t xml:space="preserve">. </w:t>
      </w:r>
    </w:p>
  </w:footnote>
  <w:footnote w:id="5">
    <w:p w:rsidR="00456C97" w:rsidRPr="00956C93" w:rsidRDefault="00456C97" w:rsidP="00956C93">
      <w:pPr>
        <w:pStyle w:val="Textodenotaderodap"/>
        <w:ind w:firstLine="567"/>
        <w:jc w:val="both"/>
        <w:rPr>
          <w:rFonts w:ascii="Garamond" w:hAnsi="Garamond"/>
        </w:rPr>
      </w:pPr>
      <w:r w:rsidRPr="00956C93">
        <w:rPr>
          <w:rStyle w:val="Refdenotaderodap"/>
          <w:rFonts w:ascii="Garamond" w:hAnsi="Garamond"/>
        </w:rPr>
        <w:footnoteRef/>
      </w:r>
      <w:r w:rsidRPr="00956C93">
        <w:rPr>
          <w:rFonts w:ascii="Garamond" w:hAnsi="Garamond"/>
        </w:rPr>
        <w:t xml:space="preserve"> É necessário um critério para distinguir entre as normas excepcionais que, nos termos do artigo 11.º do CC, não admitem efectivamente analogia, das que admitem. De acordo com </w:t>
      </w:r>
      <w:r w:rsidRPr="00956C93">
        <w:rPr>
          <w:rFonts w:ascii="Garamond" w:hAnsi="Garamond"/>
          <w:smallCaps/>
        </w:rPr>
        <w:t>Teixeira de Sousa</w:t>
      </w:r>
      <w:r w:rsidRPr="00956C93">
        <w:rPr>
          <w:rFonts w:ascii="Garamond" w:hAnsi="Garamond"/>
        </w:rPr>
        <w:t xml:space="preserve">, tal critério reside na distinção entre «excepcionalidade substancial» e «excepcionalidade formal»: </w:t>
      </w:r>
      <w:r w:rsidRPr="00956C93">
        <w:rPr>
          <w:rFonts w:ascii="Garamond" w:hAnsi="Garamond"/>
          <w:i/>
        </w:rPr>
        <w:t>(i)</w:t>
      </w:r>
      <w:r w:rsidRPr="00956C93">
        <w:rPr>
          <w:rFonts w:ascii="Garamond" w:hAnsi="Garamond"/>
        </w:rPr>
        <w:t xml:space="preserve"> «a excepcionalidade substancial é aquela que constrói um </w:t>
      </w:r>
      <w:r w:rsidRPr="00956C93">
        <w:rPr>
          <w:rFonts w:ascii="Garamond" w:hAnsi="Garamond"/>
          <w:i/>
        </w:rPr>
        <w:t>ius singulare</w:t>
      </w:r>
      <w:r w:rsidRPr="00956C93">
        <w:rPr>
          <w:rFonts w:ascii="Garamond" w:hAnsi="Garamond"/>
        </w:rPr>
        <w:t xml:space="preserve">, ou seja, um direito que é introduzido por razões de utilidade particular contra a razão geral»; </w:t>
      </w:r>
      <w:r w:rsidRPr="00956C93">
        <w:rPr>
          <w:rFonts w:ascii="Garamond" w:hAnsi="Garamond"/>
          <w:i/>
        </w:rPr>
        <w:t>(ii)</w:t>
      </w:r>
      <w:r w:rsidRPr="00956C93">
        <w:rPr>
          <w:rFonts w:ascii="Garamond" w:hAnsi="Garamond"/>
        </w:rPr>
        <w:t xml:space="preserve"> já a excepcionalidade formal consiste naquela «que contraria uma regra geral sem contrariar quaisquer valores fundamentais do sistema jurídico ou que, apesar de contrariar os valores fundamentais da norma geral, se apoia em outros valores fundamentais». A razão de ser desta última hipótese é: «Se a excepcionalidade é justificada por valores fundamentais diferentes daqueles que justificam a regra geral, há apenas uma escolha do legislador entre dois valores fundamentais: um deles orienta a regra e o outro subjaz à excepção» (cfr. </w:t>
      </w:r>
      <w:r w:rsidRPr="00956C93">
        <w:rPr>
          <w:rFonts w:ascii="Garamond" w:hAnsi="Garamond"/>
          <w:smallCaps/>
        </w:rPr>
        <w:t>Teixeira de Sousa,</w:t>
      </w:r>
      <w:r w:rsidRPr="00956C93">
        <w:rPr>
          <w:rFonts w:ascii="Garamond" w:hAnsi="Garamond"/>
        </w:rPr>
        <w:t xml:space="preserve"> </w:t>
      </w:r>
      <w:r w:rsidRPr="00956C93">
        <w:rPr>
          <w:rFonts w:ascii="Garamond" w:hAnsi="Garamond"/>
          <w:i/>
        </w:rPr>
        <w:t>Introdução ao</w:t>
      </w:r>
      <w:r w:rsidRPr="00956C93">
        <w:rPr>
          <w:rFonts w:ascii="Garamond" w:hAnsi="Garamond"/>
        </w:rPr>
        <w:t>…, cit., p. 400).</w:t>
      </w:r>
    </w:p>
    <w:p w:rsidR="00456C97" w:rsidRPr="00956C93" w:rsidRDefault="00456C97" w:rsidP="00956C93">
      <w:pPr>
        <w:pStyle w:val="Textodenotaderodap"/>
        <w:ind w:firstLine="567"/>
        <w:jc w:val="both"/>
        <w:rPr>
          <w:rFonts w:ascii="Garamond" w:hAnsi="Garamond"/>
        </w:rPr>
      </w:pPr>
      <w:r w:rsidRPr="00956C93">
        <w:rPr>
          <w:rFonts w:ascii="Garamond" w:hAnsi="Garamond"/>
        </w:rPr>
        <w:t>Só há incompatibilidade de aplicação analógica com a excepcionalidade substancial. Exemplo: «não admitem aplicação analógica, por serem regras substancialmente excepcionais, aquelas que dispensam a observância do princípio do contraditório em processos judiciais» (cfr. art. 3.º, n.º 2, do Código de Processo Civil). «A regra geral e a regra substancialmente excepcional constituem um conjunto completo, isto é, que não pode comportar nenhuma lacuna, pois que, como a regra substancialmente excepcional é insusceptível de aplicação analógica, tudo que a ela não é subsumível é necessariamente abrangido pela regra geral» (p. 400).</w:t>
      </w:r>
    </w:p>
    <w:p w:rsidR="00456C97" w:rsidRPr="00956C93" w:rsidRDefault="00456C97" w:rsidP="00956C93">
      <w:pPr>
        <w:pStyle w:val="Textodenotaderodap"/>
        <w:ind w:firstLine="567"/>
        <w:jc w:val="both"/>
        <w:rPr>
          <w:rFonts w:ascii="Garamond" w:hAnsi="Garamond"/>
        </w:rPr>
      </w:pPr>
      <w:r w:rsidRPr="00956C93">
        <w:rPr>
          <w:rFonts w:ascii="Garamond" w:hAnsi="Garamond"/>
        </w:rPr>
        <w:t xml:space="preserve">Os casos de excepcionalidade formal já são compatíveis com a aplicação analógica a casos omissos. Exemplo: uma regra proíbe, por ex., o estacionamento, excepto para cargas e descargas de produtos comerciais; se houver que determinar qual o regime que é aplicável a um camião que pretende recolher o recheio de uma casa de um morador que vai mudar de residência, é mais razoável aplicar analogicamente a excepção do que aplicar aquela regra de proibição de estacionamento» (pp. 400 e 401).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49F"/>
    <w:multiLevelType w:val="multilevel"/>
    <w:tmpl w:val="7A00B3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9441C5"/>
    <w:multiLevelType w:val="hybridMultilevel"/>
    <w:tmpl w:val="57549DC4"/>
    <w:lvl w:ilvl="0" w:tplc="CDE66D20">
      <w:start w:val="1"/>
      <w:numFmt w:val="lowerLetter"/>
      <w:lvlText w:val="(%1)"/>
      <w:lvlJc w:val="left"/>
      <w:pPr>
        <w:ind w:left="1571" w:hanging="720"/>
      </w:pPr>
      <w:rPr>
        <w:rFonts w:ascii="Garamond" w:eastAsiaTheme="minorHAnsi" w:hAnsi="Garamond" w:cstheme="minorBidi"/>
        <w:b/>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2">
    <w:nsid w:val="1D8D5C07"/>
    <w:multiLevelType w:val="multilevel"/>
    <w:tmpl w:val="6E9A623C"/>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Garamond" w:eastAsiaTheme="minorHAnsi" w:hAnsi="Garamond" w:cstheme="min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2B2617"/>
    <w:multiLevelType w:val="hybridMultilevel"/>
    <w:tmpl w:val="F154CDFE"/>
    <w:lvl w:ilvl="0" w:tplc="706C6C0E">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4">
    <w:nsid w:val="2E5E0EC0"/>
    <w:multiLevelType w:val="hybridMultilevel"/>
    <w:tmpl w:val="39C6CBBA"/>
    <w:lvl w:ilvl="0" w:tplc="1BBC7D58">
      <w:start w:val="3"/>
      <w:numFmt w:val="bullet"/>
      <w:lvlText w:val=""/>
      <w:lvlJc w:val="left"/>
      <w:pPr>
        <w:ind w:left="786" w:hanging="360"/>
      </w:pPr>
      <w:rPr>
        <w:rFonts w:ascii="Symbol" w:eastAsiaTheme="minorHAnsi" w:hAnsi="Symbol" w:cstheme="minorBidi"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5">
    <w:nsid w:val="39831014"/>
    <w:multiLevelType w:val="hybridMultilevel"/>
    <w:tmpl w:val="F154CDFE"/>
    <w:lvl w:ilvl="0" w:tplc="706C6C0E">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6">
    <w:nsid w:val="52AE22B8"/>
    <w:multiLevelType w:val="hybridMultilevel"/>
    <w:tmpl w:val="F21CABFA"/>
    <w:lvl w:ilvl="0" w:tplc="15BE8F5A">
      <w:start w:val="1"/>
      <w:numFmt w:val="lowerLetter"/>
      <w:lvlText w:val="(%1)"/>
      <w:lvlJc w:val="left"/>
      <w:pPr>
        <w:ind w:left="786" w:hanging="360"/>
      </w:pPr>
      <w:rPr>
        <w:rFonts w:hint="default"/>
        <w:b w:val="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7">
    <w:nsid w:val="651D4755"/>
    <w:multiLevelType w:val="multilevel"/>
    <w:tmpl w:val="91A284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7904249"/>
    <w:multiLevelType w:val="hybridMultilevel"/>
    <w:tmpl w:val="4EA6C78A"/>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8BA7D8D"/>
    <w:multiLevelType w:val="hybridMultilevel"/>
    <w:tmpl w:val="787C9BBE"/>
    <w:lvl w:ilvl="0" w:tplc="6A92C3F8">
      <w:start w:val="3"/>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7A8E5F27"/>
    <w:multiLevelType w:val="multilevel"/>
    <w:tmpl w:val="5426A90C"/>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2"/>
  </w:num>
  <w:num w:numId="3">
    <w:abstractNumId w:val="7"/>
  </w:num>
  <w:num w:numId="4">
    <w:abstractNumId w:val="0"/>
  </w:num>
  <w:num w:numId="5">
    <w:abstractNumId w:val="6"/>
  </w:num>
  <w:num w:numId="6">
    <w:abstractNumId w:val="3"/>
  </w:num>
  <w:num w:numId="7">
    <w:abstractNumId w:val="10"/>
  </w:num>
  <w:num w:numId="8">
    <w:abstractNumId w:val="4"/>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0C684F"/>
    <w:rsid w:val="000A744F"/>
    <w:rsid w:val="000C684F"/>
    <w:rsid w:val="00117EFF"/>
    <w:rsid w:val="00140711"/>
    <w:rsid w:val="002327A4"/>
    <w:rsid w:val="00266150"/>
    <w:rsid w:val="003A6798"/>
    <w:rsid w:val="003D1281"/>
    <w:rsid w:val="003F0806"/>
    <w:rsid w:val="004035F3"/>
    <w:rsid w:val="00456C97"/>
    <w:rsid w:val="005A5BBD"/>
    <w:rsid w:val="0061010D"/>
    <w:rsid w:val="006A465A"/>
    <w:rsid w:val="007330C1"/>
    <w:rsid w:val="0074553F"/>
    <w:rsid w:val="008510CF"/>
    <w:rsid w:val="0091572D"/>
    <w:rsid w:val="00930243"/>
    <w:rsid w:val="00956C93"/>
    <w:rsid w:val="009C55A3"/>
    <w:rsid w:val="00B26E2A"/>
    <w:rsid w:val="00B27B13"/>
    <w:rsid w:val="00C278E3"/>
    <w:rsid w:val="00D02543"/>
    <w:rsid w:val="00E24C8F"/>
    <w:rsid w:val="00E62FB6"/>
    <w:rsid w:val="00F23981"/>
    <w:rsid w:val="00F765E9"/>
    <w:rsid w:val="00FE260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8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684F"/>
    <w:pPr>
      <w:ind w:left="720"/>
      <w:contextualSpacing/>
    </w:pPr>
  </w:style>
  <w:style w:type="paragraph" w:styleId="Textodenotaderodap">
    <w:name w:val="footnote text"/>
    <w:basedOn w:val="Normal"/>
    <w:link w:val="TextodenotaderodapCarcter"/>
    <w:uiPriority w:val="99"/>
    <w:semiHidden/>
    <w:unhideWhenUsed/>
    <w:rsid w:val="0091572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91572D"/>
    <w:rPr>
      <w:sz w:val="20"/>
      <w:szCs w:val="20"/>
    </w:rPr>
  </w:style>
  <w:style w:type="character" w:styleId="Refdenotaderodap">
    <w:name w:val="footnote reference"/>
    <w:basedOn w:val="Tipodeletrapredefinidodopargrafo"/>
    <w:uiPriority w:val="99"/>
    <w:semiHidden/>
    <w:unhideWhenUsed/>
    <w:rsid w:val="0091572D"/>
    <w:rPr>
      <w:vertAlign w:val="superscript"/>
    </w:rPr>
  </w:style>
  <w:style w:type="paragraph" w:styleId="Cabealho">
    <w:name w:val="header"/>
    <w:basedOn w:val="Normal"/>
    <w:link w:val="CabealhoCarcter"/>
    <w:uiPriority w:val="99"/>
    <w:semiHidden/>
    <w:unhideWhenUsed/>
    <w:rsid w:val="000A744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0A744F"/>
  </w:style>
  <w:style w:type="paragraph" w:styleId="Rodap">
    <w:name w:val="footer"/>
    <w:basedOn w:val="Normal"/>
    <w:link w:val="RodapCarcter"/>
    <w:uiPriority w:val="99"/>
    <w:unhideWhenUsed/>
    <w:rsid w:val="000A744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A74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AFEC-2726-4BBC-AD86-7D2A7A3F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1051</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10</cp:revision>
  <dcterms:created xsi:type="dcterms:W3CDTF">2012-11-27T23:22:00Z</dcterms:created>
  <dcterms:modified xsi:type="dcterms:W3CDTF">2012-11-28T03:00:00Z</dcterms:modified>
</cp:coreProperties>
</file>