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5F" w:rsidRPr="0025645F" w:rsidRDefault="0025645F" w:rsidP="00EB71BC">
      <w:pPr>
        <w:spacing w:after="0" w:line="400" w:lineRule="atLeast"/>
        <w:jc w:val="center"/>
        <w:rPr>
          <w:rFonts w:ascii="Garamond" w:hAnsi="Garamond"/>
          <w:b/>
          <w:smallCaps/>
          <w:sz w:val="24"/>
          <w:szCs w:val="24"/>
        </w:rPr>
      </w:pPr>
      <w:r w:rsidRPr="0025645F">
        <w:rPr>
          <w:rFonts w:ascii="Garamond" w:hAnsi="Garamond"/>
          <w:b/>
          <w:smallCaps/>
          <w:sz w:val="24"/>
          <w:szCs w:val="24"/>
        </w:rPr>
        <w:t>Caso</w:t>
      </w:r>
      <w:r w:rsidR="00EB71BC">
        <w:rPr>
          <w:rFonts w:ascii="Garamond" w:hAnsi="Garamond"/>
          <w:b/>
          <w:smallCaps/>
          <w:sz w:val="24"/>
          <w:szCs w:val="24"/>
        </w:rPr>
        <w:t>s</w:t>
      </w:r>
      <w:r w:rsidRPr="0025645F">
        <w:rPr>
          <w:rFonts w:ascii="Garamond" w:hAnsi="Garamond"/>
          <w:b/>
          <w:smallCaps/>
          <w:sz w:val="24"/>
          <w:szCs w:val="24"/>
        </w:rPr>
        <w:t xml:space="preserve"> Prático</w:t>
      </w:r>
      <w:r w:rsidR="00EB71BC">
        <w:rPr>
          <w:rFonts w:ascii="Garamond" w:hAnsi="Garamond"/>
          <w:b/>
          <w:smallCaps/>
          <w:sz w:val="24"/>
          <w:szCs w:val="24"/>
        </w:rPr>
        <w:t>s</w:t>
      </w:r>
    </w:p>
    <w:p w:rsidR="0025645F" w:rsidRDefault="0025645F" w:rsidP="00EB71BC">
      <w:pPr>
        <w:spacing w:after="0" w:line="400" w:lineRule="atLeast"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>(Revisão constitucional)</w:t>
      </w:r>
    </w:p>
    <w:p w:rsidR="009B742C" w:rsidRDefault="009B742C" w:rsidP="00EB71BC">
      <w:pPr>
        <w:spacing w:after="0" w:line="400" w:lineRule="atLeast"/>
        <w:jc w:val="center"/>
        <w:rPr>
          <w:rFonts w:ascii="Garamond" w:hAnsi="Garamond"/>
          <w:b/>
          <w:smallCaps/>
          <w:sz w:val="24"/>
          <w:szCs w:val="24"/>
        </w:rPr>
      </w:pPr>
    </w:p>
    <w:p w:rsidR="00EB71BC" w:rsidRPr="009B742C" w:rsidRDefault="009B742C" w:rsidP="00EB71BC">
      <w:pPr>
        <w:spacing w:after="0" w:line="400" w:lineRule="atLeast"/>
        <w:jc w:val="center"/>
        <w:rPr>
          <w:rFonts w:ascii="Garamond" w:hAnsi="Garamond"/>
          <w:b/>
          <w:smallCaps/>
          <w:sz w:val="24"/>
          <w:szCs w:val="24"/>
        </w:rPr>
      </w:pPr>
      <w:r w:rsidRPr="009B742C">
        <w:rPr>
          <w:rFonts w:ascii="Garamond" w:hAnsi="Garamond"/>
          <w:b/>
          <w:smallCaps/>
          <w:sz w:val="24"/>
          <w:szCs w:val="24"/>
        </w:rPr>
        <w:t>I</w:t>
      </w:r>
    </w:p>
    <w:p w:rsidR="0025645F" w:rsidRDefault="002F095C" w:rsidP="00EB71B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Passados três anos desde a última revisão constitucional</w:t>
      </w:r>
      <w:r w:rsidR="0025645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</w:t>
      </w:r>
      <w:r w:rsidR="002564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Governo</w:t>
      </w:r>
      <w:r w:rsidR="0025645F">
        <w:rPr>
          <w:rFonts w:ascii="Garamond" w:hAnsi="Garamond"/>
          <w:sz w:val="24"/>
          <w:szCs w:val="24"/>
        </w:rPr>
        <w:t xml:space="preserve"> resolveu </w:t>
      </w:r>
      <w:r>
        <w:rPr>
          <w:rFonts w:ascii="Garamond" w:hAnsi="Garamond"/>
          <w:sz w:val="24"/>
          <w:szCs w:val="24"/>
        </w:rPr>
        <w:t>iniciar uma</w:t>
      </w:r>
      <w:r w:rsidR="0025645F">
        <w:rPr>
          <w:rFonts w:ascii="Garamond" w:hAnsi="Garamond"/>
          <w:sz w:val="24"/>
          <w:szCs w:val="24"/>
        </w:rPr>
        <w:t xml:space="preserve"> revisão </w:t>
      </w:r>
      <w:r>
        <w:rPr>
          <w:rFonts w:ascii="Garamond" w:hAnsi="Garamond"/>
          <w:sz w:val="24"/>
          <w:szCs w:val="24"/>
        </w:rPr>
        <w:t xml:space="preserve">constitucional </w:t>
      </w:r>
      <w:r w:rsidR="0025645F">
        <w:rPr>
          <w:rFonts w:ascii="Garamond" w:hAnsi="Garamond"/>
          <w:sz w:val="24"/>
          <w:szCs w:val="24"/>
        </w:rPr>
        <w:t>ordinária</w:t>
      </w:r>
      <w:r>
        <w:rPr>
          <w:rFonts w:ascii="Garamond" w:hAnsi="Garamond"/>
          <w:sz w:val="24"/>
          <w:szCs w:val="24"/>
        </w:rPr>
        <w:t>. O projecto apresentado pelo Governo foi aprovado</w:t>
      </w:r>
      <w:r w:rsidR="002564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pela Assembleia </w:t>
      </w:r>
      <w:r w:rsidR="0025645F">
        <w:rPr>
          <w:rFonts w:ascii="Garamond" w:hAnsi="Garamond"/>
          <w:sz w:val="24"/>
          <w:szCs w:val="24"/>
        </w:rPr>
        <w:t xml:space="preserve">por maioria </w:t>
      </w:r>
      <w:r>
        <w:rPr>
          <w:rFonts w:ascii="Garamond" w:hAnsi="Garamond"/>
          <w:sz w:val="24"/>
          <w:szCs w:val="24"/>
        </w:rPr>
        <w:t>absoluta</w:t>
      </w:r>
      <w:r w:rsidR="0025645F">
        <w:rPr>
          <w:rFonts w:ascii="Garamond" w:hAnsi="Garamond"/>
          <w:sz w:val="24"/>
          <w:szCs w:val="24"/>
        </w:rPr>
        <w:t xml:space="preserve"> dos deputados em efectividade de funções. </w:t>
      </w:r>
      <w:r>
        <w:rPr>
          <w:rFonts w:ascii="Garamond" w:hAnsi="Garamond"/>
          <w:sz w:val="24"/>
          <w:szCs w:val="24"/>
        </w:rPr>
        <w:t xml:space="preserve">O projecto previa </w:t>
      </w:r>
      <w:r w:rsidR="00EB71BC">
        <w:rPr>
          <w:rFonts w:ascii="Garamond" w:hAnsi="Garamond"/>
          <w:sz w:val="24"/>
          <w:szCs w:val="24"/>
        </w:rPr>
        <w:t>trê</w:t>
      </w:r>
      <w:r>
        <w:rPr>
          <w:rFonts w:ascii="Garamond" w:hAnsi="Garamond"/>
          <w:sz w:val="24"/>
          <w:szCs w:val="24"/>
        </w:rPr>
        <w:t>s coisas</w:t>
      </w:r>
      <w:r w:rsidR="00EB71BC">
        <w:rPr>
          <w:rFonts w:ascii="Garamond" w:hAnsi="Garamond"/>
          <w:sz w:val="24"/>
          <w:szCs w:val="24"/>
        </w:rPr>
        <w:t>: (i) alteração</w:t>
      </w:r>
      <w:r w:rsidR="0025645F">
        <w:rPr>
          <w:rFonts w:ascii="Garamond" w:hAnsi="Garamond"/>
          <w:sz w:val="24"/>
          <w:szCs w:val="24"/>
        </w:rPr>
        <w:t xml:space="preserve"> </w:t>
      </w:r>
      <w:r w:rsidR="00EB71BC">
        <w:rPr>
          <w:rFonts w:ascii="Garamond" w:hAnsi="Garamond"/>
          <w:sz w:val="24"/>
          <w:szCs w:val="24"/>
        </w:rPr>
        <w:t>d</w:t>
      </w:r>
      <w:r w:rsidR="0025645F">
        <w:rPr>
          <w:rFonts w:ascii="Garamond" w:hAnsi="Garamond"/>
          <w:sz w:val="24"/>
          <w:szCs w:val="24"/>
        </w:rPr>
        <w:t xml:space="preserve">a constituição </w:t>
      </w:r>
      <w:r w:rsidR="00EB71BC">
        <w:rPr>
          <w:rFonts w:ascii="Garamond" w:hAnsi="Garamond"/>
          <w:sz w:val="24"/>
          <w:szCs w:val="24"/>
        </w:rPr>
        <w:t>que eliminava as referências</w:t>
      </w:r>
      <w:r w:rsidR="0025645F">
        <w:rPr>
          <w:rFonts w:ascii="Garamond" w:hAnsi="Garamond"/>
          <w:sz w:val="24"/>
          <w:szCs w:val="24"/>
        </w:rPr>
        <w:t xml:space="preserve"> </w:t>
      </w:r>
      <w:r w:rsidR="00EB71B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o princípio da igualdade</w:t>
      </w:r>
      <w:r w:rsidR="0025645F">
        <w:rPr>
          <w:rFonts w:ascii="Garamond" w:hAnsi="Garamond"/>
          <w:sz w:val="24"/>
          <w:szCs w:val="24"/>
        </w:rPr>
        <w:t>; (</w:t>
      </w:r>
      <w:proofErr w:type="spellStart"/>
      <w:r w:rsidR="0025645F">
        <w:rPr>
          <w:rFonts w:ascii="Garamond" w:hAnsi="Garamond"/>
          <w:sz w:val="24"/>
          <w:szCs w:val="24"/>
        </w:rPr>
        <w:t>ii</w:t>
      </w:r>
      <w:proofErr w:type="spellEnd"/>
      <w:r w:rsidR="0025645F">
        <w:rPr>
          <w:rFonts w:ascii="Garamond" w:hAnsi="Garamond"/>
          <w:sz w:val="24"/>
          <w:szCs w:val="24"/>
        </w:rPr>
        <w:t xml:space="preserve">) </w:t>
      </w:r>
      <w:r w:rsidR="00EB71BC">
        <w:rPr>
          <w:rFonts w:ascii="Garamond" w:hAnsi="Garamond"/>
          <w:sz w:val="24"/>
          <w:szCs w:val="24"/>
        </w:rPr>
        <w:t>alteração</w:t>
      </w:r>
      <w:r>
        <w:rPr>
          <w:rFonts w:ascii="Garamond" w:hAnsi="Garamond"/>
          <w:sz w:val="24"/>
          <w:szCs w:val="24"/>
        </w:rPr>
        <w:t xml:space="preserve"> </w:t>
      </w:r>
      <w:r w:rsidR="00EB71BC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a constituição </w:t>
      </w:r>
      <w:r w:rsidR="00EB71BC">
        <w:rPr>
          <w:rFonts w:ascii="Garamond" w:hAnsi="Garamond"/>
          <w:sz w:val="24"/>
          <w:szCs w:val="24"/>
        </w:rPr>
        <w:t>que eliminava</w:t>
      </w:r>
      <w:r>
        <w:rPr>
          <w:rFonts w:ascii="Garamond" w:hAnsi="Garamond"/>
          <w:sz w:val="24"/>
          <w:szCs w:val="24"/>
        </w:rPr>
        <w:t xml:space="preserve"> a autonomia das autarquias locais, como mecanismo de controlo das finanças do Estado</w:t>
      </w:r>
      <w:r w:rsidR="00EB71BC">
        <w:rPr>
          <w:rFonts w:ascii="Garamond" w:hAnsi="Garamond"/>
          <w:sz w:val="24"/>
          <w:szCs w:val="24"/>
        </w:rPr>
        <w:t>; e (</w:t>
      </w:r>
      <w:proofErr w:type="spellStart"/>
      <w:r w:rsidR="00EB71BC">
        <w:rPr>
          <w:rFonts w:ascii="Garamond" w:hAnsi="Garamond"/>
          <w:sz w:val="24"/>
          <w:szCs w:val="24"/>
        </w:rPr>
        <w:t>iii</w:t>
      </w:r>
      <w:proofErr w:type="spellEnd"/>
      <w:r w:rsidR="00EB71BC">
        <w:rPr>
          <w:rFonts w:ascii="Garamond" w:hAnsi="Garamond"/>
          <w:sz w:val="24"/>
          <w:szCs w:val="24"/>
        </w:rPr>
        <w:t>) alteração da constituição porque a culpa da crise é, em grande medida, do texto fundamental</w:t>
      </w:r>
      <w:r w:rsidR="0025645F">
        <w:rPr>
          <w:rFonts w:ascii="Garamond" w:hAnsi="Garamond"/>
          <w:sz w:val="24"/>
          <w:szCs w:val="24"/>
        </w:rPr>
        <w:t>.</w:t>
      </w:r>
    </w:p>
    <w:p w:rsidR="0025645F" w:rsidRDefault="0025645F" w:rsidP="00EB71B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Tendo as alterações sido aprovadas por maioria absoluta, o Presidente da República </w:t>
      </w:r>
      <w:r w:rsidR="002F095C">
        <w:rPr>
          <w:rFonts w:ascii="Garamond" w:hAnsi="Garamond"/>
          <w:sz w:val="24"/>
          <w:szCs w:val="24"/>
        </w:rPr>
        <w:t xml:space="preserve">rejeitou </w:t>
      </w:r>
      <w:r>
        <w:rPr>
          <w:rFonts w:ascii="Garamond" w:hAnsi="Garamond"/>
          <w:sz w:val="24"/>
          <w:szCs w:val="24"/>
        </w:rPr>
        <w:t>promulg</w:t>
      </w:r>
      <w:r w:rsidR="002F095C">
        <w:rPr>
          <w:rFonts w:ascii="Garamond" w:hAnsi="Garamond"/>
          <w:sz w:val="24"/>
          <w:szCs w:val="24"/>
        </w:rPr>
        <w:t>ar a respectiva lei de revisão – mesmo considerando o disposto no</w:t>
      </w:r>
      <w:r>
        <w:rPr>
          <w:rFonts w:ascii="Garamond" w:hAnsi="Garamond"/>
          <w:sz w:val="24"/>
          <w:szCs w:val="24"/>
        </w:rPr>
        <w:t xml:space="preserve"> artigo 286.º, n.º 3, da CRP</w:t>
      </w:r>
      <w:r w:rsidR="002F095C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, </w:t>
      </w:r>
      <w:r w:rsidR="002F095C">
        <w:rPr>
          <w:rFonts w:ascii="Garamond" w:hAnsi="Garamond"/>
          <w:sz w:val="24"/>
          <w:szCs w:val="24"/>
        </w:rPr>
        <w:t>e resolveu submetê-la a fiscalização preventiva por parte do TC</w:t>
      </w:r>
      <w:r>
        <w:rPr>
          <w:rFonts w:ascii="Garamond" w:hAnsi="Garamond"/>
          <w:sz w:val="24"/>
          <w:szCs w:val="24"/>
        </w:rPr>
        <w:t>.</w:t>
      </w:r>
      <w:r w:rsidR="002F095C">
        <w:rPr>
          <w:rFonts w:ascii="Garamond" w:hAnsi="Garamond"/>
          <w:sz w:val="24"/>
          <w:szCs w:val="24"/>
        </w:rPr>
        <w:t xml:space="preserve"> Esta decisão do PR em muito foi influenciada pelo facto de não terem as comissões de trabalhadores sido ouvidas</w:t>
      </w:r>
      <w:r w:rsidR="00EB71BC">
        <w:rPr>
          <w:rFonts w:ascii="Garamond" w:hAnsi="Garamond"/>
          <w:sz w:val="24"/>
          <w:szCs w:val="24"/>
        </w:rPr>
        <w:t>.</w:t>
      </w:r>
    </w:p>
    <w:p w:rsidR="00EB71BC" w:rsidRDefault="00EB71BC" w:rsidP="00EB71BC">
      <w:pPr>
        <w:spacing w:after="0" w:line="400" w:lineRule="atLeast"/>
        <w:ind w:firstLine="709"/>
        <w:jc w:val="both"/>
        <w:rPr>
          <w:rFonts w:ascii="Garamond" w:hAnsi="Garamond"/>
          <w:b/>
          <w:i/>
          <w:sz w:val="24"/>
          <w:szCs w:val="24"/>
        </w:rPr>
      </w:pPr>
      <w:proofErr w:type="spellStart"/>
      <w:r w:rsidRPr="00EB71BC">
        <w:rPr>
          <w:rFonts w:ascii="Garamond" w:hAnsi="Garamond"/>
          <w:b/>
          <w:i/>
          <w:sz w:val="24"/>
          <w:szCs w:val="24"/>
        </w:rPr>
        <w:t>Quid</w:t>
      </w:r>
      <w:proofErr w:type="spellEnd"/>
      <w:r w:rsidRPr="00EB71BC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EB71BC">
        <w:rPr>
          <w:rFonts w:ascii="Garamond" w:hAnsi="Garamond"/>
          <w:b/>
          <w:i/>
          <w:sz w:val="24"/>
          <w:szCs w:val="24"/>
        </w:rPr>
        <w:t>Juris</w:t>
      </w:r>
      <w:proofErr w:type="spellEnd"/>
      <w:r w:rsidRPr="00EB71BC">
        <w:rPr>
          <w:rFonts w:ascii="Garamond" w:hAnsi="Garamond"/>
          <w:b/>
          <w:i/>
          <w:sz w:val="24"/>
          <w:szCs w:val="24"/>
        </w:rPr>
        <w:t>?</w:t>
      </w:r>
    </w:p>
    <w:p w:rsidR="00EB71BC" w:rsidRDefault="00EB71BC" w:rsidP="00EB71BC">
      <w:pPr>
        <w:spacing w:after="0" w:line="400" w:lineRule="atLeast"/>
        <w:ind w:firstLine="709"/>
        <w:jc w:val="both"/>
        <w:rPr>
          <w:rFonts w:ascii="Garamond" w:hAnsi="Garamond"/>
          <w:b/>
          <w:i/>
          <w:sz w:val="24"/>
          <w:szCs w:val="24"/>
        </w:rPr>
      </w:pPr>
    </w:p>
    <w:p w:rsidR="00EB71BC" w:rsidRDefault="009B742C" w:rsidP="00EB71BC">
      <w:pPr>
        <w:spacing w:after="0" w:line="400" w:lineRule="atLeast"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II</w:t>
      </w:r>
    </w:p>
    <w:p w:rsidR="00EB71BC" w:rsidRDefault="00EB71BC" w:rsidP="00EB71B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Assembleia Legislativa Regional dos Açores apresentou um projecto de revisão</w:t>
      </w:r>
      <w:r w:rsidR="00D3406F">
        <w:rPr>
          <w:rFonts w:ascii="Garamond" w:hAnsi="Garamond"/>
          <w:sz w:val="24"/>
          <w:szCs w:val="24"/>
        </w:rPr>
        <w:t xml:space="preserve"> (</w:t>
      </w:r>
      <w:r w:rsidR="00D3406F" w:rsidRPr="00D3406F">
        <w:rPr>
          <w:rFonts w:ascii="Garamond" w:hAnsi="Garamond"/>
          <w:b/>
          <w:sz w:val="24"/>
          <w:szCs w:val="24"/>
        </w:rPr>
        <w:t>quem apresenta projectos são os deputados -285/1</w:t>
      </w:r>
      <w:r w:rsidR="00D3406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que foi aprovado pelo Governo, com autorização da AR, por maioria de dois terços dos ministros em efectividade de funções</w:t>
      </w:r>
      <w:r w:rsidR="00D3406F">
        <w:rPr>
          <w:rFonts w:ascii="Garamond" w:hAnsi="Garamond"/>
          <w:sz w:val="24"/>
          <w:szCs w:val="24"/>
        </w:rPr>
        <w:t xml:space="preserve"> (</w:t>
      </w:r>
      <w:r w:rsidR="00D3406F" w:rsidRPr="00D3406F">
        <w:rPr>
          <w:rFonts w:ascii="Garamond" w:hAnsi="Garamond"/>
          <w:b/>
          <w:sz w:val="24"/>
          <w:szCs w:val="24"/>
        </w:rPr>
        <w:t>quem aprova é a AR – 286/1 + 161/a)</w:t>
      </w:r>
      <w:r w:rsidR="00D3406F">
        <w:rPr>
          <w:rFonts w:ascii="Garamond" w:hAnsi="Garamond"/>
          <w:b/>
          <w:sz w:val="24"/>
          <w:szCs w:val="24"/>
        </w:rPr>
        <w:t>; poderia referir-se que, neste caso, a maioria até era a correcta – 286/1</w:t>
      </w:r>
      <w:r w:rsidR="00D3406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O projecto insular previa duas coisas: (i) alteração da norma constitucional constante da alínea </w:t>
      </w:r>
      <w:r w:rsidRPr="009B742C">
        <w:rPr>
          <w:rFonts w:ascii="Garamond" w:hAnsi="Garamond"/>
          <w:i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do n.º 2 do artigo 64.º, que passava a ter a seguinte formulação: “Através de um serviço nacional de saúde universal e geral, em função das condições económicas e sociais dos cidadãos”</w:t>
      </w:r>
      <w:r w:rsidR="00D3406F">
        <w:rPr>
          <w:rFonts w:ascii="Garamond" w:hAnsi="Garamond"/>
          <w:sz w:val="24"/>
          <w:szCs w:val="24"/>
        </w:rPr>
        <w:t xml:space="preserve"> (</w:t>
      </w:r>
      <w:r w:rsidR="00D3406F" w:rsidRPr="00D3406F">
        <w:rPr>
          <w:rFonts w:ascii="Garamond" w:hAnsi="Garamond"/>
          <w:b/>
          <w:sz w:val="24"/>
          <w:szCs w:val="24"/>
        </w:rPr>
        <w:t>à partida era possível alterar, já que não está em causa nenhum dos limites materiais expressos</w:t>
      </w:r>
      <w:r w:rsidR="00D3406F">
        <w:rPr>
          <w:rFonts w:ascii="Garamond" w:hAnsi="Garamond"/>
          <w:b/>
          <w:sz w:val="24"/>
          <w:szCs w:val="24"/>
        </w:rPr>
        <w:t xml:space="preserve"> (notem que esta norma até já foi alterada uma vez – começou por se falar em “gratuitidade” e actualmente fala-se em “tendencial gratuitidade”)</w:t>
      </w:r>
      <w:r w:rsidR="00D3406F" w:rsidRPr="00D3406F">
        <w:rPr>
          <w:rFonts w:ascii="Garamond" w:hAnsi="Garamond"/>
          <w:b/>
          <w:sz w:val="24"/>
          <w:szCs w:val="24"/>
        </w:rPr>
        <w:t xml:space="preserve">; ainda assim, poder-se ia discutir, por ex, sobre se não poderia ser um limite implícito, </w:t>
      </w:r>
      <w:proofErr w:type="spellStart"/>
      <w:r w:rsidR="00D3406F" w:rsidRPr="00D3406F">
        <w:rPr>
          <w:rFonts w:ascii="Garamond" w:hAnsi="Garamond"/>
          <w:b/>
          <w:sz w:val="24"/>
          <w:szCs w:val="24"/>
        </w:rPr>
        <w:t>inferível</w:t>
      </w:r>
      <w:proofErr w:type="spellEnd"/>
      <w:r w:rsidR="00D3406F" w:rsidRPr="00D3406F">
        <w:rPr>
          <w:rFonts w:ascii="Garamond" w:hAnsi="Garamond"/>
          <w:b/>
          <w:sz w:val="24"/>
          <w:szCs w:val="24"/>
        </w:rPr>
        <w:t xml:space="preserve"> da alínea d) do 288 e, em conjunto, que era um aspecto tão importante no âmbito da nossa constituição que se trataria de um aspecto fundamental da constituição material</w:t>
      </w:r>
      <w:r w:rsidR="00D3406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; e (</w:t>
      </w:r>
      <w:proofErr w:type="spellStart"/>
      <w:r>
        <w:rPr>
          <w:rFonts w:ascii="Garamond" w:hAnsi="Garamond"/>
          <w:sz w:val="24"/>
          <w:szCs w:val="24"/>
        </w:rPr>
        <w:t>ii</w:t>
      </w:r>
      <w:proofErr w:type="spellEnd"/>
      <w:r>
        <w:rPr>
          <w:rFonts w:ascii="Garamond" w:hAnsi="Garamond"/>
          <w:sz w:val="24"/>
          <w:szCs w:val="24"/>
        </w:rPr>
        <w:t xml:space="preserve">) alteração da </w:t>
      </w:r>
      <w:r>
        <w:rPr>
          <w:rFonts w:ascii="Garamond" w:hAnsi="Garamond"/>
          <w:sz w:val="24"/>
          <w:szCs w:val="24"/>
        </w:rPr>
        <w:lastRenderedPageBreak/>
        <w:t xml:space="preserve">constituição que implicava </w:t>
      </w:r>
      <w:r w:rsidR="009B742C">
        <w:rPr>
          <w:rFonts w:ascii="Garamond" w:hAnsi="Garamond"/>
          <w:sz w:val="24"/>
          <w:szCs w:val="24"/>
        </w:rPr>
        <w:t>a transformação das RA em verdadeiros Estados Federados</w:t>
      </w:r>
      <w:r w:rsidR="00D3406F">
        <w:rPr>
          <w:rFonts w:ascii="Garamond" w:hAnsi="Garamond"/>
          <w:sz w:val="24"/>
          <w:szCs w:val="24"/>
        </w:rPr>
        <w:t xml:space="preserve"> (</w:t>
      </w:r>
      <w:r w:rsidR="00D3406F" w:rsidRPr="00D3406F">
        <w:rPr>
          <w:rFonts w:ascii="Garamond" w:hAnsi="Garamond"/>
          <w:b/>
          <w:sz w:val="24"/>
          <w:szCs w:val="24"/>
        </w:rPr>
        <w:t>alteração que violava o limite material de revisão constante da alínea a) do 288</w:t>
      </w:r>
      <w:r w:rsidR="00D3406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EB71BC" w:rsidRDefault="00EB71BC" w:rsidP="00EB71B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Tendo as alterações sido aprovadas por </w:t>
      </w:r>
      <w:r w:rsidR="009B742C">
        <w:rPr>
          <w:rFonts w:ascii="Garamond" w:hAnsi="Garamond"/>
          <w:sz w:val="24"/>
          <w:szCs w:val="24"/>
        </w:rPr>
        <w:t>maioria de dois terços dos ministros em efectividade de funções</w:t>
      </w:r>
      <w:r>
        <w:rPr>
          <w:rFonts w:ascii="Garamond" w:hAnsi="Garamond"/>
          <w:sz w:val="24"/>
          <w:szCs w:val="24"/>
        </w:rPr>
        <w:t xml:space="preserve">, o Presidente da República </w:t>
      </w:r>
      <w:r w:rsidR="009B742C">
        <w:rPr>
          <w:rFonts w:ascii="Garamond" w:hAnsi="Garamond"/>
          <w:sz w:val="24"/>
          <w:szCs w:val="24"/>
        </w:rPr>
        <w:t xml:space="preserve">resolveu </w:t>
      </w:r>
      <w:r>
        <w:rPr>
          <w:rFonts w:ascii="Garamond" w:hAnsi="Garamond"/>
          <w:sz w:val="24"/>
          <w:szCs w:val="24"/>
        </w:rPr>
        <w:t>promulg</w:t>
      </w:r>
      <w:r w:rsidR="009B742C">
        <w:rPr>
          <w:rFonts w:ascii="Garamond" w:hAnsi="Garamond"/>
          <w:sz w:val="24"/>
          <w:szCs w:val="24"/>
        </w:rPr>
        <w:t>ar</w:t>
      </w:r>
      <w:r>
        <w:rPr>
          <w:rFonts w:ascii="Garamond" w:hAnsi="Garamond"/>
          <w:sz w:val="24"/>
          <w:szCs w:val="24"/>
        </w:rPr>
        <w:t xml:space="preserve"> a respectiva lei de revisão – </w:t>
      </w:r>
      <w:r w:rsidR="009B742C">
        <w:rPr>
          <w:rFonts w:ascii="Garamond" w:hAnsi="Garamond"/>
          <w:sz w:val="24"/>
          <w:szCs w:val="24"/>
        </w:rPr>
        <w:t xml:space="preserve">até pelo </w:t>
      </w:r>
      <w:r>
        <w:rPr>
          <w:rFonts w:ascii="Garamond" w:hAnsi="Garamond"/>
          <w:sz w:val="24"/>
          <w:szCs w:val="24"/>
        </w:rPr>
        <w:t>disposto no artigo 286.º, n.º 3, da CRP</w:t>
      </w:r>
      <w:r w:rsidR="00D3406F">
        <w:rPr>
          <w:rFonts w:ascii="Garamond" w:hAnsi="Garamond"/>
          <w:sz w:val="24"/>
          <w:szCs w:val="24"/>
        </w:rPr>
        <w:t xml:space="preserve"> (</w:t>
      </w:r>
      <w:r w:rsidR="00D3406F" w:rsidRPr="00381176">
        <w:rPr>
          <w:rFonts w:ascii="Garamond" w:hAnsi="Garamond"/>
          <w:b/>
          <w:sz w:val="24"/>
          <w:szCs w:val="24"/>
        </w:rPr>
        <w:t xml:space="preserve">discussão sobre se é assim, obrigatoriamente, ou é admissível a fiscalização preventiva pelo TC; </w:t>
      </w:r>
      <w:r w:rsidR="00381176" w:rsidRPr="00381176">
        <w:rPr>
          <w:rFonts w:ascii="Garamond" w:hAnsi="Garamond"/>
          <w:b/>
          <w:sz w:val="24"/>
          <w:szCs w:val="24"/>
        </w:rPr>
        <w:t xml:space="preserve">Gomes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Canotilho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diz apenas que é duvidoso; </w:t>
      </w:r>
      <w:r w:rsidR="00D3406F" w:rsidRPr="00381176">
        <w:rPr>
          <w:rFonts w:ascii="Garamond" w:hAnsi="Garamond"/>
          <w:b/>
          <w:sz w:val="24"/>
          <w:szCs w:val="24"/>
        </w:rPr>
        <w:t xml:space="preserve">JM parece não admitir a fiscalização preventiva nestes casos (ver argumentos), salvo se </w:t>
      </w:r>
      <w:proofErr w:type="spellStart"/>
      <w:r w:rsidR="00D3406F" w:rsidRPr="00381176">
        <w:rPr>
          <w:rFonts w:ascii="Garamond" w:hAnsi="Garamond"/>
          <w:b/>
          <w:sz w:val="24"/>
          <w:szCs w:val="24"/>
        </w:rPr>
        <w:t>se</w:t>
      </w:r>
      <w:proofErr w:type="spellEnd"/>
      <w:r w:rsidR="00D3406F" w:rsidRPr="00381176">
        <w:rPr>
          <w:rFonts w:ascii="Garamond" w:hAnsi="Garamond"/>
          <w:b/>
          <w:sz w:val="24"/>
          <w:szCs w:val="24"/>
        </w:rPr>
        <w:t xml:space="preserve"> tratar de uma violação muito grave (</w:t>
      </w:r>
      <w:r w:rsidR="00381176" w:rsidRPr="00381176">
        <w:rPr>
          <w:rFonts w:ascii="Garamond" w:hAnsi="Garamond"/>
          <w:b/>
          <w:sz w:val="24"/>
          <w:szCs w:val="24"/>
        </w:rPr>
        <w:t xml:space="preserve">mas </w:t>
      </w:r>
      <w:r w:rsidR="00D3406F" w:rsidRPr="00381176">
        <w:rPr>
          <w:rFonts w:ascii="Garamond" w:hAnsi="Garamond"/>
          <w:b/>
          <w:sz w:val="24"/>
          <w:szCs w:val="24"/>
        </w:rPr>
        <w:t xml:space="preserve">não é muito claro, </w:t>
      </w:r>
      <w:r w:rsidR="00381176" w:rsidRPr="00381176">
        <w:rPr>
          <w:rFonts w:ascii="Garamond" w:hAnsi="Garamond"/>
          <w:b/>
          <w:sz w:val="24"/>
          <w:szCs w:val="24"/>
        </w:rPr>
        <w:t xml:space="preserve">sobre que casos são esses); o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Prof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MRSousa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defende, por exemplo, a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fisc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preventiva para os casos de inexistência, ou seja quando falte </w:t>
      </w:r>
      <w:r w:rsidR="00D3406F" w:rsidRPr="00381176">
        <w:rPr>
          <w:rFonts w:ascii="Garamond" w:hAnsi="Garamond"/>
          <w:b/>
          <w:sz w:val="24"/>
          <w:szCs w:val="24"/>
        </w:rPr>
        <w:t>algum dos requisitos de qualificação da lei, mas já não quando se vio</w:t>
      </w:r>
      <w:r w:rsidR="00381176" w:rsidRPr="00381176">
        <w:rPr>
          <w:rFonts w:ascii="Garamond" w:hAnsi="Garamond"/>
          <w:b/>
          <w:sz w:val="24"/>
          <w:szCs w:val="24"/>
        </w:rPr>
        <w:t xml:space="preserve">la, por ex., um limite material; Fernando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Suordem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e Silva Lopes parecem admitir a </w:t>
      </w:r>
      <w:proofErr w:type="spellStart"/>
      <w:r w:rsidR="00381176" w:rsidRPr="00381176">
        <w:rPr>
          <w:rFonts w:ascii="Garamond" w:hAnsi="Garamond"/>
          <w:b/>
          <w:sz w:val="24"/>
          <w:szCs w:val="24"/>
        </w:rPr>
        <w:t>fisc</w:t>
      </w:r>
      <w:proofErr w:type="spellEnd"/>
      <w:r w:rsidR="00381176" w:rsidRPr="00381176">
        <w:rPr>
          <w:rFonts w:ascii="Garamond" w:hAnsi="Garamond"/>
          <w:b/>
          <w:sz w:val="24"/>
          <w:szCs w:val="24"/>
        </w:rPr>
        <w:t xml:space="preserve"> preventiva</w:t>
      </w:r>
      <w:r w:rsidR="00D3406F" w:rsidRPr="00381176">
        <w:rPr>
          <w:rFonts w:ascii="Garamond" w:hAnsi="Garamond"/>
          <w:b/>
          <w:sz w:val="24"/>
          <w:szCs w:val="24"/>
        </w:rPr>
        <w:t>)</w:t>
      </w:r>
      <w:r w:rsidR="00D3406F">
        <w:rPr>
          <w:rFonts w:ascii="Garamond" w:hAnsi="Garamond"/>
          <w:sz w:val="24"/>
          <w:szCs w:val="24"/>
        </w:rPr>
        <w:t>)</w:t>
      </w:r>
      <w:r w:rsidR="009B742C">
        <w:rPr>
          <w:rFonts w:ascii="Garamond" w:hAnsi="Garamond"/>
          <w:sz w:val="24"/>
          <w:szCs w:val="24"/>
        </w:rPr>
        <w:t>. Porém, passado um mês, e após ter assistido a uma conferência na FDL sobre o assunto, resolveu suscitar a fiscalização sucessiva da lei de revisão constitucional, por ter concordado com as críticas que lhe foram dirigidas pela doutrina no referido evento</w:t>
      </w:r>
      <w:r w:rsidR="00381176">
        <w:rPr>
          <w:rFonts w:ascii="Garamond" w:hAnsi="Garamond"/>
          <w:sz w:val="24"/>
          <w:szCs w:val="24"/>
        </w:rPr>
        <w:t xml:space="preserve"> (</w:t>
      </w:r>
      <w:r w:rsidR="00381176" w:rsidRPr="00381176">
        <w:rPr>
          <w:rFonts w:ascii="Garamond" w:hAnsi="Garamond"/>
          <w:b/>
          <w:sz w:val="24"/>
          <w:szCs w:val="24"/>
        </w:rPr>
        <w:t>é possível fiscalizar sucessivamente, porque o PR tem competência nos termos do artigo 281.º</w:t>
      </w:r>
      <w:r w:rsidR="0038117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EB71BC" w:rsidRDefault="00EB71BC" w:rsidP="00EB71BC">
      <w:pPr>
        <w:spacing w:after="0" w:line="400" w:lineRule="atLeast"/>
        <w:ind w:firstLine="709"/>
        <w:jc w:val="both"/>
        <w:rPr>
          <w:rFonts w:ascii="Garamond" w:hAnsi="Garamond"/>
          <w:b/>
          <w:i/>
          <w:sz w:val="24"/>
          <w:szCs w:val="24"/>
        </w:rPr>
      </w:pPr>
      <w:proofErr w:type="spellStart"/>
      <w:r w:rsidRPr="00EB71BC">
        <w:rPr>
          <w:rFonts w:ascii="Garamond" w:hAnsi="Garamond"/>
          <w:b/>
          <w:i/>
          <w:sz w:val="24"/>
          <w:szCs w:val="24"/>
        </w:rPr>
        <w:t>Quid</w:t>
      </w:r>
      <w:proofErr w:type="spellEnd"/>
      <w:r w:rsidRPr="00EB71BC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EB71BC">
        <w:rPr>
          <w:rFonts w:ascii="Garamond" w:hAnsi="Garamond"/>
          <w:b/>
          <w:i/>
          <w:sz w:val="24"/>
          <w:szCs w:val="24"/>
        </w:rPr>
        <w:t>Juris</w:t>
      </w:r>
      <w:proofErr w:type="spellEnd"/>
      <w:r w:rsidRPr="00EB71BC">
        <w:rPr>
          <w:rFonts w:ascii="Garamond" w:hAnsi="Garamond"/>
          <w:b/>
          <w:i/>
          <w:sz w:val="24"/>
          <w:szCs w:val="24"/>
        </w:rPr>
        <w:t>?</w:t>
      </w:r>
    </w:p>
    <w:p w:rsidR="00A23A91" w:rsidRDefault="00A23A91"/>
    <w:sectPr w:rsidR="00A23A91" w:rsidSect="009B742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645F"/>
    <w:rsid w:val="0025645F"/>
    <w:rsid w:val="002F095C"/>
    <w:rsid w:val="00381176"/>
    <w:rsid w:val="0063358E"/>
    <w:rsid w:val="009B742C"/>
    <w:rsid w:val="00A23A91"/>
    <w:rsid w:val="00AD27E9"/>
    <w:rsid w:val="00C61A06"/>
    <w:rsid w:val="00D3406F"/>
    <w:rsid w:val="00EB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2012-12-10T22:28:00Z</dcterms:created>
  <dcterms:modified xsi:type="dcterms:W3CDTF">2012-12-13T02:22:00Z</dcterms:modified>
</cp:coreProperties>
</file>