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CB668E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 w:rsidRPr="006D6B04">
        <w:rPr>
          <w:rFonts w:ascii="Garamond" w:hAnsi="Garamond" w:cs="Times New Roman"/>
          <w:sz w:val="20"/>
          <w:szCs w:val="20"/>
        </w:rPr>
        <w:t>História do</w:t>
      </w:r>
      <w:r w:rsidR="00CD3C94" w:rsidRPr="006D6B04">
        <w:rPr>
          <w:rFonts w:ascii="Garamond" w:hAnsi="Garamond" w:cs="Times New Roman"/>
          <w:sz w:val="20"/>
          <w:szCs w:val="20"/>
        </w:rPr>
        <w:t xml:space="preserve"> Direito </w:t>
      </w:r>
      <w:r w:rsidRPr="006D6B04">
        <w:rPr>
          <w:rFonts w:ascii="Garamond" w:hAnsi="Garamond" w:cs="Times New Roman"/>
          <w:sz w:val="20"/>
          <w:szCs w:val="20"/>
        </w:rPr>
        <w:t xml:space="preserve">Português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37F2F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A94C87" w:rsidP="00537F2F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Ius Regni</w:t>
            </w:r>
            <w:r w:rsidR="00E27621">
              <w:rPr>
                <w:rFonts w:ascii="Garamond" w:hAnsi="Garamond"/>
                <w:i/>
                <w:sz w:val="28"/>
                <w:szCs w:val="20"/>
              </w:rPr>
              <w:t xml:space="preserve"> – Direito Legislado</w:t>
            </w:r>
          </w:p>
          <w:p w:rsidR="00537F2F" w:rsidRPr="002449B5" w:rsidRDefault="00537F2F" w:rsidP="00537F2F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F41431" w:rsidRPr="00F41431" w:rsidRDefault="00F41431" w:rsidP="004E6C3C">
      <w:pPr>
        <w:spacing w:after="0" w:line="340" w:lineRule="atLeast"/>
        <w:ind w:left="-284" w:right="-285"/>
        <w:jc w:val="both"/>
        <w:rPr>
          <w:rFonts w:ascii="Garamond" w:hAnsi="Garamond"/>
          <w:i/>
          <w:sz w:val="24"/>
          <w:szCs w:val="24"/>
        </w:rPr>
      </w:pPr>
    </w:p>
    <w:p w:rsidR="0035782A" w:rsidRPr="006D498E" w:rsidRDefault="00A94C87" w:rsidP="006D498E">
      <w:pPr>
        <w:spacing w:after="0" w:line="340" w:lineRule="atLeast"/>
        <w:ind w:firstLine="567"/>
        <w:jc w:val="both"/>
        <w:rPr>
          <w:rFonts w:ascii="Garamond" w:hAnsi="Garamond"/>
          <w:szCs w:val="24"/>
        </w:rPr>
      </w:pPr>
      <w:r w:rsidRPr="006D498E">
        <w:rPr>
          <w:rFonts w:ascii="Garamond" w:hAnsi="Garamond"/>
          <w:smallCaps/>
          <w:szCs w:val="24"/>
        </w:rPr>
        <w:t>Ius Regni</w:t>
      </w:r>
      <w:r w:rsidR="00903AE9" w:rsidRPr="006D498E">
        <w:rPr>
          <w:rFonts w:ascii="Garamond" w:hAnsi="Garamond"/>
          <w:szCs w:val="24"/>
        </w:rPr>
        <w:t>,</w:t>
      </w:r>
      <w:r w:rsidRPr="006D498E">
        <w:rPr>
          <w:rFonts w:ascii="Garamond" w:hAnsi="Garamond"/>
          <w:szCs w:val="24"/>
        </w:rPr>
        <w:t xml:space="preserve"> </w:t>
      </w:r>
      <w:r w:rsidRPr="006D498E">
        <w:rPr>
          <w:rFonts w:ascii="Garamond" w:hAnsi="Garamond"/>
          <w:i/>
          <w:szCs w:val="24"/>
        </w:rPr>
        <w:t>Direito Legislado</w:t>
      </w:r>
      <w:r w:rsidR="006B0CB0" w:rsidRPr="006D498E">
        <w:rPr>
          <w:rFonts w:ascii="Garamond" w:hAnsi="Garamond"/>
          <w:szCs w:val="24"/>
        </w:rPr>
        <w:t xml:space="preserve"> ou </w:t>
      </w:r>
      <w:r w:rsidR="006B0CB0" w:rsidRPr="006D498E">
        <w:rPr>
          <w:rFonts w:ascii="Garamond" w:hAnsi="Garamond"/>
          <w:i/>
          <w:szCs w:val="24"/>
        </w:rPr>
        <w:t>próprio</w:t>
      </w:r>
      <w:r w:rsidR="006B0CB0" w:rsidRPr="006D498E">
        <w:rPr>
          <w:rFonts w:ascii="Garamond" w:hAnsi="Garamond"/>
          <w:szCs w:val="24"/>
        </w:rPr>
        <w:t xml:space="preserve">, </w:t>
      </w:r>
      <w:r w:rsidR="00903AE9" w:rsidRPr="006D498E">
        <w:rPr>
          <w:rFonts w:ascii="Garamond" w:hAnsi="Garamond"/>
          <w:szCs w:val="24"/>
        </w:rPr>
        <w:t xml:space="preserve">foi </w:t>
      </w:r>
      <w:r w:rsidR="0087238A" w:rsidRPr="006D498E">
        <w:rPr>
          <w:rFonts w:ascii="Garamond" w:hAnsi="Garamond"/>
          <w:szCs w:val="24"/>
        </w:rPr>
        <w:t>o direito dos reinos, enquadrado historicamente no pluralismo jurídico,</w:t>
      </w:r>
      <w:r w:rsidR="00B131E3" w:rsidRPr="006D498E">
        <w:rPr>
          <w:rFonts w:ascii="Garamond" w:hAnsi="Garamond"/>
          <w:szCs w:val="24"/>
        </w:rPr>
        <w:t xml:space="preserve"> intimamente</w:t>
      </w:r>
      <w:r w:rsidR="0087238A" w:rsidRPr="006D498E">
        <w:rPr>
          <w:rFonts w:ascii="Garamond" w:hAnsi="Garamond"/>
          <w:szCs w:val="24"/>
        </w:rPr>
        <w:t xml:space="preserve"> </w:t>
      </w:r>
      <w:r w:rsidR="00B131E3" w:rsidRPr="006D498E">
        <w:rPr>
          <w:rFonts w:ascii="Garamond" w:hAnsi="Garamond"/>
          <w:szCs w:val="24"/>
        </w:rPr>
        <w:t xml:space="preserve">ligado ao direito </w:t>
      </w:r>
      <w:r w:rsidR="00F41431" w:rsidRPr="006D498E">
        <w:rPr>
          <w:rFonts w:ascii="Garamond" w:hAnsi="Garamond"/>
          <w:szCs w:val="24"/>
        </w:rPr>
        <w:t>costumeiro, pactuado e</w:t>
      </w:r>
      <w:r w:rsidR="00B131E3" w:rsidRPr="006D498E">
        <w:rPr>
          <w:rFonts w:ascii="Garamond" w:hAnsi="Garamond"/>
          <w:szCs w:val="24"/>
        </w:rPr>
        <w:t xml:space="preserve"> fora</w:t>
      </w:r>
      <w:r w:rsidR="00F41431" w:rsidRPr="006D498E">
        <w:rPr>
          <w:rFonts w:ascii="Garamond" w:hAnsi="Garamond"/>
          <w:szCs w:val="24"/>
        </w:rPr>
        <w:t>l</w:t>
      </w:r>
      <w:r w:rsidR="00B131E3" w:rsidRPr="006D498E">
        <w:rPr>
          <w:rFonts w:ascii="Garamond" w:hAnsi="Garamond"/>
          <w:szCs w:val="24"/>
        </w:rPr>
        <w:t xml:space="preserve">. No direito legislado, </w:t>
      </w:r>
      <w:r w:rsidR="00F41431" w:rsidRPr="006D498E">
        <w:rPr>
          <w:rFonts w:ascii="Garamond" w:hAnsi="Garamond"/>
          <w:szCs w:val="24"/>
        </w:rPr>
        <w:t xml:space="preserve">estes grupos </w:t>
      </w:r>
      <w:r w:rsidR="00B131E3" w:rsidRPr="006D498E">
        <w:rPr>
          <w:rFonts w:ascii="Garamond" w:hAnsi="Garamond"/>
          <w:szCs w:val="24"/>
        </w:rPr>
        <w:t xml:space="preserve">vigoravam no </w:t>
      </w:r>
      <w:r w:rsidR="00F41431" w:rsidRPr="006D498E">
        <w:rPr>
          <w:rFonts w:ascii="Garamond" w:hAnsi="Garamond"/>
          <w:szCs w:val="24"/>
        </w:rPr>
        <w:t>seio do</w:t>
      </w:r>
      <w:bookmarkStart w:id="0" w:name="_GoBack"/>
      <w:bookmarkEnd w:id="0"/>
      <w:r w:rsidR="00F41431" w:rsidRPr="006D498E">
        <w:rPr>
          <w:rFonts w:ascii="Garamond" w:hAnsi="Garamond"/>
          <w:szCs w:val="24"/>
        </w:rPr>
        <w:t xml:space="preserve"> </w:t>
      </w:r>
      <w:r w:rsidR="00B131E3" w:rsidRPr="006D498E">
        <w:rPr>
          <w:rFonts w:ascii="Garamond" w:hAnsi="Garamond"/>
          <w:szCs w:val="24"/>
        </w:rPr>
        <w:t>ordenamento jurídico antes do conceito de nacionalidade.</w:t>
      </w:r>
      <w:r w:rsidR="00E158F4" w:rsidRPr="006D498E">
        <w:rPr>
          <w:rFonts w:ascii="Garamond" w:hAnsi="Garamond"/>
          <w:szCs w:val="24"/>
        </w:rPr>
        <w:t xml:space="preserve"> Por tal, o povo que na altura assumia uma maior representatividade eram os visigodos</w:t>
      </w:r>
      <w:r w:rsidR="002D6F9B" w:rsidRPr="006D498E">
        <w:rPr>
          <w:rFonts w:ascii="Garamond" w:hAnsi="Garamond"/>
          <w:szCs w:val="24"/>
        </w:rPr>
        <w:t>, que ocuparam o território peninsular</w:t>
      </w:r>
      <w:r w:rsidR="00D91335" w:rsidRPr="006D498E">
        <w:rPr>
          <w:rFonts w:ascii="Garamond" w:hAnsi="Garamond"/>
          <w:szCs w:val="24"/>
        </w:rPr>
        <w:t>, entre o séc. V e o início do séc. VIII</w:t>
      </w:r>
      <w:r w:rsidR="00E158F4" w:rsidRPr="006D498E">
        <w:rPr>
          <w:rFonts w:ascii="Garamond" w:hAnsi="Garamond"/>
          <w:szCs w:val="24"/>
        </w:rPr>
        <w:t>.</w:t>
      </w:r>
      <w:r w:rsidR="002D6F9B" w:rsidRPr="006D498E">
        <w:rPr>
          <w:rFonts w:ascii="Garamond" w:hAnsi="Garamond"/>
          <w:szCs w:val="24"/>
        </w:rPr>
        <w:t xml:space="preserve"> </w:t>
      </w:r>
      <w:r w:rsidR="00C009C1" w:rsidRPr="006D498E">
        <w:rPr>
          <w:rFonts w:ascii="Garamond" w:hAnsi="Garamond"/>
          <w:szCs w:val="24"/>
        </w:rPr>
        <w:t>À</w:t>
      </w:r>
      <w:r w:rsidR="00E610EA" w:rsidRPr="006D498E">
        <w:rPr>
          <w:rFonts w:ascii="Garamond" w:hAnsi="Garamond"/>
          <w:szCs w:val="24"/>
        </w:rPr>
        <w:t xml:space="preserve"> luz da história, percorreram-se os trilhos sobre o</w:t>
      </w:r>
      <w:r w:rsidR="002D6F9B" w:rsidRPr="006D498E">
        <w:rPr>
          <w:rFonts w:ascii="Garamond" w:hAnsi="Garamond"/>
          <w:szCs w:val="24"/>
        </w:rPr>
        <w:t xml:space="preserve"> direito visigótico</w:t>
      </w:r>
      <w:r w:rsidR="00D97437" w:rsidRPr="006D498E">
        <w:rPr>
          <w:rFonts w:ascii="Garamond" w:hAnsi="Garamond"/>
          <w:szCs w:val="24"/>
        </w:rPr>
        <w:t>, na vertente da sua nacionalidade (séc. XII)</w:t>
      </w:r>
      <w:r w:rsidR="00E610EA" w:rsidRPr="006D498E">
        <w:rPr>
          <w:rFonts w:ascii="Garamond" w:hAnsi="Garamond"/>
          <w:szCs w:val="24"/>
        </w:rPr>
        <w:t>, para se aferir até que ponto incidia ou não sobre o direito legislado.</w:t>
      </w:r>
      <w:r w:rsidR="00F005C0" w:rsidRPr="006D498E">
        <w:rPr>
          <w:rFonts w:ascii="Garamond" w:hAnsi="Garamond"/>
          <w:szCs w:val="24"/>
        </w:rPr>
        <w:t xml:space="preserve"> 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szCs w:val="24"/>
        </w:rPr>
      </w:pPr>
    </w:p>
    <w:p w:rsidR="0035782A" w:rsidRPr="006D498E" w:rsidRDefault="00F24B7C" w:rsidP="006D498E">
      <w:pPr>
        <w:spacing w:after="0" w:line="340" w:lineRule="atLeast"/>
        <w:ind w:firstLine="567"/>
        <w:jc w:val="both"/>
        <w:rPr>
          <w:rFonts w:ascii="Garamond" w:hAnsi="Garamond"/>
          <w:szCs w:val="24"/>
        </w:rPr>
      </w:pPr>
      <w:r w:rsidRPr="006D498E">
        <w:rPr>
          <w:rFonts w:ascii="Garamond" w:hAnsi="Garamond"/>
          <w:szCs w:val="24"/>
        </w:rPr>
        <w:t>O povo visig</w:t>
      </w:r>
      <w:r w:rsidR="00FD7E14" w:rsidRPr="006D498E">
        <w:rPr>
          <w:rFonts w:ascii="Garamond" w:hAnsi="Garamond"/>
          <w:szCs w:val="24"/>
        </w:rPr>
        <w:t>odo</w:t>
      </w:r>
      <w:r w:rsidRPr="006D498E">
        <w:rPr>
          <w:rFonts w:ascii="Garamond" w:hAnsi="Garamond"/>
          <w:szCs w:val="24"/>
        </w:rPr>
        <w:t xml:space="preserve"> é</w:t>
      </w:r>
      <w:r w:rsidR="00D227F8" w:rsidRPr="006D498E">
        <w:rPr>
          <w:rFonts w:ascii="Garamond" w:hAnsi="Garamond"/>
          <w:szCs w:val="24"/>
        </w:rPr>
        <w:t xml:space="preserve"> a massa germânica mais romanizada da época, entre os restantes, </w:t>
      </w:r>
      <w:r w:rsidR="002657AE" w:rsidRPr="006D498E">
        <w:rPr>
          <w:rFonts w:ascii="Garamond" w:hAnsi="Garamond"/>
          <w:szCs w:val="24"/>
        </w:rPr>
        <w:t>que</w:t>
      </w:r>
      <w:r w:rsidR="00EB0B4D" w:rsidRPr="006D498E">
        <w:rPr>
          <w:rFonts w:ascii="Garamond" w:hAnsi="Garamond"/>
          <w:szCs w:val="24"/>
        </w:rPr>
        <w:t xml:space="preserve"> através do seu</w:t>
      </w:r>
      <w:r w:rsidR="00555C14" w:rsidRPr="006D498E">
        <w:rPr>
          <w:rFonts w:ascii="Garamond" w:hAnsi="Garamond"/>
          <w:szCs w:val="24"/>
        </w:rPr>
        <w:t xml:space="preserve"> monarca </w:t>
      </w:r>
      <w:r w:rsidR="00555C14" w:rsidRPr="006D498E">
        <w:rPr>
          <w:rFonts w:ascii="Garamond" w:hAnsi="Garamond"/>
          <w:smallCaps/>
          <w:szCs w:val="24"/>
        </w:rPr>
        <w:t>Eurico</w:t>
      </w:r>
      <w:r w:rsidR="00E21CAA" w:rsidRPr="006D498E">
        <w:rPr>
          <w:rFonts w:ascii="Garamond" w:hAnsi="Garamond"/>
          <w:szCs w:val="24"/>
        </w:rPr>
        <w:t xml:space="preserve"> (contemporâneo com a queda do império</w:t>
      </w:r>
      <w:r w:rsidR="00662509" w:rsidRPr="006D498E">
        <w:rPr>
          <w:rFonts w:ascii="Garamond" w:hAnsi="Garamond"/>
          <w:szCs w:val="24"/>
        </w:rPr>
        <w:t>, em 476</w:t>
      </w:r>
      <w:r w:rsidR="00E21CAA" w:rsidRPr="006D498E">
        <w:rPr>
          <w:rFonts w:ascii="Garamond" w:hAnsi="Garamond"/>
          <w:szCs w:val="24"/>
        </w:rPr>
        <w:t xml:space="preserve">), </w:t>
      </w:r>
      <w:r w:rsidR="002657AE" w:rsidRPr="006D498E">
        <w:rPr>
          <w:rFonts w:ascii="Garamond" w:hAnsi="Garamond"/>
          <w:szCs w:val="24"/>
        </w:rPr>
        <w:t>entabulam um pacto</w:t>
      </w:r>
      <w:r w:rsidR="000A1327" w:rsidRPr="006D498E">
        <w:rPr>
          <w:rFonts w:ascii="Garamond" w:hAnsi="Garamond"/>
          <w:szCs w:val="24"/>
        </w:rPr>
        <w:t xml:space="preserve"> militar</w:t>
      </w:r>
      <w:r w:rsidR="002657AE" w:rsidRPr="006D498E">
        <w:rPr>
          <w:rFonts w:ascii="Garamond" w:hAnsi="Garamond"/>
          <w:szCs w:val="24"/>
        </w:rPr>
        <w:t xml:space="preserve"> com Roma </w:t>
      </w:r>
      <w:r w:rsidR="00075533" w:rsidRPr="006D498E">
        <w:rPr>
          <w:rFonts w:ascii="Garamond" w:hAnsi="Garamond"/>
          <w:szCs w:val="24"/>
        </w:rPr>
        <w:t xml:space="preserve">(ano de 418), </w:t>
      </w:r>
      <w:r w:rsidR="002657AE" w:rsidRPr="006D498E">
        <w:rPr>
          <w:rFonts w:ascii="Garamond" w:hAnsi="Garamond"/>
          <w:szCs w:val="24"/>
        </w:rPr>
        <w:t>no sentido de se aliarem</w:t>
      </w:r>
      <w:r w:rsidR="00F005C0" w:rsidRPr="006D498E">
        <w:rPr>
          <w:rFonts w:ascii="Garamond" w:hAnsi="Garamond"/>
          <w:szCs w:val="24"/>
        </w:rPr>
        <w:t xml:space="preserve"> </w:t>
      </w:r>
      <w:r w:rsidR="00075533" w:rsidRPr="006D498E">
        <w:rPr>
          <w:rFonts w:ascii="Garamond" w:hAnsi="Garamond"/>
          <w:szCs w:val="24"/>
        </w:rPr>
        <w:t>na expulsão dos</w:t>
      </w:r>
      <w:r w:rsidR="00B25415" w:rsidRPr="006D498E">
        <w:rPr>
          <w:rFonts w:ascii="Garamond" w:hAnsi="Garamond"/>
          <w:szCs w:val="24"/>
        </w:rPr>
        <w:t xml:space="preserve"> povos</w:t>
      </w:r>
      <w:r w:rsidR="00075533" w:rsidRPr="006D498E">
        <w:rPr>
          <w:rFonts w:ascii="Garamond" w:hAnsi="Garamond"/>
          <w:szCs w:val="24"/>
        </w:rPr>
        <w:t xml:space="preserve"> bárbaros</w:t>
      </w:r>
      <w:r w:rsidR="00093211" w:rsidRPr="006D498E">
        <w:rPr>
          <w:rFonts w:ascii="Garamond" w:hAnsi="Garamond"/>
          <w:szCs w:val="24"/>
        </w:rPr>
        <w:t>, que ali se tinham instalado desde 409</w:t>
      </w:r>
      <w:r w:rsidR="00075533" w:rsidRPr="006D498E">
        <w:rPr>
          <w:rFonts w:ascii="Garamond" w:hAnsi="Garamond"/>
          <w:szCs w:val="24"/>
        </w:rPr>
        <w:t>, sendo este o primeiro contacto dos visigodos.</w:t>
      </w:r>
      <w:r w:rsidR="00A15010" w:rsidRPr="006D498E">
        <w:rPr>
          <w:rFonts w:ascii="Garamond" w:hAnsi="Garamond"/>
          <w:szCs w:val="24"/>
        </w:rPr>
        <w:t xml:space="preserve"> 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szCs w:val="24"/>
        </w:rPr>
      </w:pPr>
    </w:p>
    <w:p w:rsidR="00FB6C2C" w:rsidRPr="006D498E" w:rsidRDefault="00CD5851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szCs w:val="24"/>
        </w:rPr>
        <w:t xml:space="preserve">Como medida de troca, vai ser entregue o sul de frança ao rei visigodo, </w:t>
      </w:r>
      <w:r w:rsidR="00DC32CA" w:rsidRPr="006D498E">
        <w:rPr>
          <w:rFonts w:ascii="Garamond" w:hAnsi="Garamond"/>
          <w:szCs w:val="24"/>
        </w:rPr>
        <w:t>onde se vai instala</w:t>
      </w:r>
      <w:r w:rsidR="001C6E86" w:rsidRPr="006D498E">
        <w:rPr>
          <w:rFonts w:ascii="Garamond" w:hAnsi="Garamond"/>
          <w:szCs w:val="24"/>
        </w:rPr>
        <w:t>r e tendo como capital Toulouse, embora sendo esta presença a</w:t>
      </w:r>
      <w:r w:rsidR="00E43139" w:rsidRPr="006D498E">
        <w:rPr>
          <w:rFonts w:ascii="Garamond" w:hAnsi="Garamond"/>
          <w:szCs w:val="24"/>
        </w:rPr>
        <w:t>ssinalada de forma intermitente,</w:t>
      </w:r>
      <w:r w:rsidR="00AF229C" w:rsidRPr="006D498E">
        <w:rPr>
          <w:rFonts w:ascii="Garamond" w:hAnsi="Garamond"/>
          <w:szCs w:val="24"/>
        </w:rPr>
        <w:t xml:space="preserve"> pouco efectiva,</w:t>
      </w:r>
      <w:r w:rsidR="00E43139" w:rsidRPr="006D498E">
        <w:rPr>
          <w:rFonts w:ascii="Garamond" w:hAnsi="Garamond"/>
          <w:szCs w:val="24"/>
        </w:rPr>
        <w:t xml:space="preserve"> que àquele local vieram para expulsar os povos bárbaros.</w:t>
      </w:r>
      <w:r w:rsidR="00DC32CA" w:rsidRPr="006D498E">
        <w:rPr>
          <w:rFonts w:ascii="Garamond" w:hAnsi="Garamond"/>
          <w:szCs w:val="24"/>
        </w:rPr>
        <w:t xml:space="preserve"> </w:t>
      </w:r>
      <w:r w:rsidR="00AF229C" w:rsidRPr="006D498E">
        <w:rPr>
          <w:rFonts w:ascii="Garamond" w:hAnsi="Garamond"/>
          <w:szCs w:val="24"/>
        </w:rPr>
        <w:t>R</w:t>
      </w:r>
      <w:r w:rsidR="00CB4AA0" w:rsidRPr="006D498E">
        <w:rPr>
          <w:rFonts w:ascii="Garamond" w:hAnsi="Garamond"/>
          <w:szCs w:val="24"/>
        </w:rPr>
        <w:t>ompem</w:t>
      </w:r>
      <w:r w:rsidR="00AF229C" w:rsidRPr="006D498E">
        <w:rPr>
          <w:rFonts w:ascii="Garamond" w:hAnsi="Garamond"/>
          <w:szCs w:val="24"/>
        </w:rPr>
        <w:t xml:space="preserve"> igualmente</w:t>
      </w:r>
      <w:r w:rsidR="00CB4AA0" w:rsidRPr="006D498E">
        <w:rPr>
          <w:rFonts w:ascii="Garamond" w:hAnsi="Garamond"/>
          <w:szCs w:val="24"/>
        </w:rPr>
        <w:t xml:space="preserve"> a sua aliança com Roma</w:t>
      </w:r>
      <w:r w:rsidR="002451E8" w:rsidRPr="006D498E">
        <w:rPr>
          <w:rFonts w:ascii="Garamond" w:hAnsi="Garamond"/>
          <w:szCs w:val="24"/>
        </w:rPr>
        <w:t>, invadindo a península</w:t>
      </w:r>
      <w:r w:rsidR="00CB4AA0" w:rsidRPr="006D498E">
        <w:rPr>
          <w:rFonts w:ascii="Garamond" w:hAnsi="Garamond"/>
          <w:szCs w:val="24"/>
        </w:rPr>
        <w:t xml:space="preserve"> </w:t>
      </w:r>
      <w:r w:rsidR="00F60404" w:rsidRPr="006D498E">
        <w:rPr>
          <w:rFonts w:ascii="Garamond" w:hAnsi="Garamond"/>
          <w:szCs w:val="24"/>
        </w:rPr>
        <w:t xml:space="preserve">ibérica </w:t>
      </w:r>
      <w:r w:rsidR="00CB4AA0" w:rsidRPr="006D498E">
        <w:rPr>
          <w:rFonts w:ascii="Garamond" w:hAnsi="Garamond"/>
          <w:szCs w:val="24"/>
        </w:rPr>
        <w:t xml:space="preserve">e Eurico, como rei expansionista que era, </w:t>
      </w:r>
      <w:r w:rsidR="002451E8" w:rsidRPr="006D498E">
        <w:rPr>
          <w:rFonts w:ascii="Garamond" w:hAnsi="Garamond"/>
          <w:szCs w:val="24"/>
        </w:rPr>
        <w:t>vai propagar</w:t>
      </w:r>
      <w:r w:rsidR="00A2743C" w:rsidRPr="006D498E">
        <w:rPr>
          <w:rFonts w:ascii="Garamond" w:hAnsi="Garamond"/>
          <w:szCs w:val="24"/>
        </w:rPr>
        <w:t xml:space="preserve"> e promulgar</w:t>
      </w:r>
      <w:r w:rsidR="002451E8" w:rsidRPr="006D498E">
        <w:rPr>
          <w:rFonts w:ascii="Garamond" w:hAnsi="Garamond"/>
          <w:szCs w:val="24"/>
        </w:rPr>
        <w:t xml:space="preserve"> através da corte visigótica de Tou</w:t>
      </w:r>
      <w:r w:rsidR="00A2743C" w:rsidRPr="006D498E">
        <w:rPr>
          <w:rFonts w:ascii="Garamond" w:hAnsi="Garamond"/>
          <w:szCs w:val="24"/>
        </w:rPr>
        <w:t>louse</w:t>
      </w:r>
      <w:r w:rsidR="00AC59C0" w:rsidRPr="006D498E">
        <w:rPr>
          <w:rFonts w:ascii="Garamond" w:hAnsi="Garamond"/>
          <w:szCs w:val="24"/>
        </w:rPr>
        <w:t xml:space="preserve"> (</w:t>
      </w:r>
      <w:r w:rsidR="00AC59C0" w:rsidRPr="006D498E">
        <w:rPr>
          <w:rFonts w:ascii="Garamond" w:hAnsi="Garamond"/>
          <w:i/>
          <w:szCs w:val="24"/>
        </w:rPr>
        <w:t xml:space="preserve">principal corte </w:t>
      </w:r>
      <w:r w:rsidR="00B261AD" w:rsidRPr="006D498E">
        <w:rPr>
          <w:rFonts w:ascii="Garamond" w:hAnsi="Garamond"/>
          <w:i/>
          <w:szCs w:val="24"/>
        </w:rPr>
        <w:t xml:space="preserve">e poder </w:t>
      </w:r>
      <w:r w:rsidR="00AC59C0" w:rsidRPr="006D498E">
        <w:rPr>
          <w:rFonts w:ascii="Garamond" w:hAnsi="Garamond"/>
          <w:i/>
          <w:szCs w:val="24"/>
        </w:rPr>
        <w:t>do ocidente</w:t>
      </w:r>
      <w:r w:rsidR="00AC59C0" w:rsidRPr="006D498E">
        <w:rPr>
          <w:rFonts w:ascii="Garamond" w:hAnsi="Garamond"/>
          <w:szCs w:val="24"/>
        </w:rPr>
        <w:t>)</w:t>
      </w:r>
      <w:r w:rsidR="00A2743C" w:rsidRPr="006D498E">
        <w:rPr>
          <w:rFonts w:ascii="Garamond" w:hAnsi="Garamond"/>
          <w:szCs w:val="24"/>
        </w:rPr>
        <w:t xml:space="preserve">, o </w:t>
      </w:r>
      <w:r w:rsidR="004E6C3C" w:rsidRPr="006D498E">
        <w:rPr>
          <w:rFonts w:ascii="Garamond" w:hAnsi="Garamond"/>
          <w:smallCaps/>
          <w:szCs w:val="24"/>
        </w:rPr>
        <w:t>Código de Eurico</w:t>
      </w:r>
      <w:r w:rsidR="000411AA" w:rsidRPr="006D498E">
        <w:rPr>
          <w:rFonts w:ascii="Garamond" w:hAnsi="Garamond"/>
          <w:smallCaps/>
          <w:szCs w:val="24"/>
        </w:rPr>
        <w:t xml:space="preserve">, </w:t>
      </w:r>
      <w:r w:rsidR="0066371A" w:rsidRPr="006D498E">
        <w:rPr>
          <w:rFonts w:ascii="Garamond" w:hAnsi="Garamond"/>
          <w:i/>
          <w:szCs w:val="24"/>
        </w:rPr>
        <w:t xml:space="preserve">código de </w:t>
      </w:r>
      <w:r w:rsidR="000411AA" w:rsidRPr="006D498E">
        <w:rPr>
          <w:rFonts w:ascii="Garamond" w:hAnsi="Garamond"/>
          <w:i/>
          <w:szCs w:val="24"/>
        </w:rPr>
        <w:t>direito tendencialmente visigótico</w:t>
      </w:r>
      <w:r w:rsidR="004E6C3C" w:rsidRPr="006D498E">
        <w:rPr>
          <w:rFonts w:ascii="Garamond" w:hAnsi="Garamond"/>
          <w:smallCaps/>
          <w:szCs w:val="24"/>
        </w:rPr>
        <w:t xml:space="preserve"> </w:t>
      </w:r>
      <w:r w:rsidR="00695AA7" w:rsidRPr="006D498E">
        <w:rPr>
          <w:rFonts w:ascii="Garamond" w:hAnsi="Garamond"/>
          <w:szCs w:val="24"/>
        </w:rPr>
        <w:t>(ano de 476), adquirindo assim esta função legisladora.</w:t>
      </w:r>
      <w:r w:rsidR="00FA3F48" w:rsidRPr="006D498E">
        <w:rPr>
          <w:rFonts w:ascii="Garamond" w:hAnsi="Garamond"/>
          <w:szCs w:val="24"/>
        </w:rPr>
        <w:t xml:space="preserve"> No ano de 506, o filho de Eurico</w:t>
      </w:r>
      <w:r w:rsidR="00483AD2" w:rsidRPr="006D498E">
        <w:rPr>
          <w:rFonts w:ascii="Garamond" w:hAnsi="Garamond"/>
          <w:szCs w:val="24"/>
        </w:rPr>
        <w:t>, rei</w:t>
      </w:r>
      <w:r w:rsidR="00FA3F48" w:rsidRPr="006D498E">
        <w:rPr>
          <w:rFonts w:ascii="Garamond" w:hAnsi="Garamond"/>
          <w:szCs w:val="24"/>
        </w:rPr>
        <w:t xml:space="preserve"> </w:t>
      </w:r>
      <w:r w:rsidR="00FA3F48" w:rsidRPr="006D498E">
        <w:rPr>
          <w:rFonts w:ascii="Garamond" w:hAnsi="Garamond"/>
          <w:smallCaps/>
          <w:szCs w:val="24"/>
        </w:rPr>
        <w:t>Alarico II</w:t>
      </w:r>
      <w:r w:rsidR="00FA3F48" w:rsidRPr="006D498E">
        <w:rPr>
          <w:rFonts w:ascii="Garamond" w:hAnsi="Garamond"/>
          <w:szCs w:val="24"/>
        </w:rPr>
        <w:t>, vai</w:t>
      </w:r>
      <w:r w:rsidR="00737B70" w:rsidRPr="006D498E">
        <w:rPr>
          <w:rFonts w:ascii="Garamond" w:hAnsi="Garamond"/>
          <w:szCs w:val="24"/>
        </w:rPr>
        <w:t xml:space="preserve"> p</w:t>
      </w:r>
      <w:r w:rsidR="00880F6A" w:rsidRPr="006D498E">
        <w:rPr>
          <w:rFonts w:ascii="Garamond" w:hAnsi="Garamond"/>
          <w:szCs w:val="24"/>
        </w:rPr>
        <w:t xml:space="preserve">romulgar um outro código visigótico, </w:t>
      </w:r>
      <w:r w:rsidR="00737B70" w:rsidRPr="006D498E">
        <w:rPr>
          <w:rFonts w:ascii="Garamond" w:hAnsi="Garamond"/>
          <w:szCs w:val="24"/>
        </w:rPr>
        <w:t xml:space="preserve">o </w:t>
      </w:r>
      <w:r w:rsidR="00737B70" w:rsidRPr="006D498E">
        <w:rPr>
          <w:rFonts w:ascii="Garamond" w:hAnsi="Garamond"/>
          <w:i/>
          <w:szCs w:val="24"/>
        </w:rPr>
        <w:t>Breviário de Alarico</w:t>
      </w:r>
      <w:r w:rsidR="0075155C" w:rsidRPr="006D498E">
        <w:rPr>
          <w:rFonts w:ascii="Garamond" w:hAnsi="Garamond"/>
          <w:szCs w:val="24"/>
        </w:rPr>
        <w:t xml:space="preserve"> ou </w:t>
      </w:r>
      <w:r w:rsidR="0075155C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Lex Romana Visigothorum</w:t>
      </w:r>
      <w:r w:rsidR="00994BE0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que </w:t>
      </w:r>
      <w:r w:rsidR="00994BE0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passa por ser uma compilação de direito romano puro, pré justinianeu, imposto pelos juristas romanos.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FB6C2C" w:rsidRPr="006D498E" w:rsidRDefault="00FB6C2C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Quanto ao</w:t>
      </w:r>
      <w:r w:rsidR="006F6ED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r w:rsidR="006F6ED2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Código de Eurico</w:t>
      </w:r>
      <w:r w:rsidR="006F6ED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existe um grande fosso histórico, </w:t>
      </w:r>
      <w:r w:rsidR="00FC2EA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muito fragmentado, </w:t>
      </w:r>
      <w:r w:rsidR="00E6536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uma vez que aquilo que existe é-nos facultado </w:t>
      </w:r>
      <w:r w:rsidR="00FC2EA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atrav</w:t>
      </w:r>
      <w:r w:rsidR="006309DE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és do romanista e jurista</w:t>
      </w:r>
      <w:r w:rsidR="00E6536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espanhol</w:t>
      </w:r>
      <w:r w:rsidR="006309DE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r w:rsidR="006309DE" w:rsidRPr="006D498E">
        <w:rPr>
          <w:rFonts w:ascii="Garamond" w:hAnsi="Garamond"/>
          <w:bCs/>
          <w:iCs/>
          <w:smallCaps/>
          <w:color w:val="252525"/>
          <w:szCs w:val="24"/>
          <w:shd w:val="clear" w:color="auto" w:fill="FFFFFF"/>
        </w:rPr>
        <w:t>Álvaro d’Ors</w:t>
      </w:r>
      <w:r w:rsidR="006309DE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</w:t>
      </w:r>
      <w:r w:rsidR="00111C83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que classifica esta compil</w:t>
      </w:r>
      <w:r w:rsidR="0090679B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ação como direito romano vulgar, ou seja, tem alguns traços de direito germânico</w:t>
      </w:r>
      <w:r w:rsidR="004E1BE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(</w:t>
      </w:r>
      <w:r w:rsidR="004E1BEA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impuramente germânico</w:t>
      </w:r>
      <w:r w:rsidR="004E1BE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)</w:t>
      </w:r>
      <w:r w:rsidR="0090679B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mas não deixa de ser </w:t>
      </w:r>
      <w:r w:rsidR="00B03C48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um código de direito </w:t>
      </w:r>
      <w:r w:rsidR="0090679B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romano</w:t>
      </w:r>
      <w:r w:rsidR="004E1BE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(</w:t>
      </w:r>
      <w:r w:rsidR="004E1BEA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de forma adaptada</w:t>
      </w:r>
      <w:r w:rsidR="004E1BE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)</w:t>
      </w:r>
      <w:r w:rsidR="0090679B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.</w:t>
      </w:r>
    </w:p>
    <w:p w:rsidR="00A81166" w:rsidRPr="006D498E" w:rsidRDefault="00A81166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A relação existente entre o </w:t>
      </w:r>
      <w:r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Código de Eurico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e o </w:t>
      </w:r>
      <w:r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Breviário de Alarico</w:t>
      </w:r>
      <w:r w:rsidR="007E17AD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, c</w:t>
      </w:r>
      <w:r w:rsidR="00FD7E14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omo duas compilações visigodas</w:t>
      </w:r>
      <w:r w:rsidR="007E17AD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, passa pela aplicação do código à população</w:t>
      </w:r>
      <w:r w:rsidR="00FD7E14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visigoda</w:t>
      </w:r>
      <w:r w:rsidR="007E17AD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r w:rsidR="00B66844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e o breviário à </w:t>
      </w:r>
      <w:r w:rsidR="008730C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população </w:t>
      </w:r>
      <w:r w:rsidR="00624B4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hispano-romana</w:t>
      </w:r>
      <w:r w:rsidR="00297A4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, seguindo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r w:rsidR="00297A4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portanto o </w:t>
      </w:r>
      <w:r w:rsidR="00297A4A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princípio da personalidade</w:t>
      </w:r>
      <w:r w:rsidR="00297A4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</w:t>
      </w:r>
      <w:r w:rsidR="005C7F04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consoante a comun</w:t>
      </w:r>
      <w:r w:rsidR="009327F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idade que estivesse em causa.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B60D12" w:rsidRPr="006D498E" w:rsidRDefault="00DD7822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Esta tese da personalidade vai</w:t>
      </w:r>
      <w:r w:rsidR="00624B4A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ser discutida e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confronta</w:t>
      </w:r>
      <w:r w:rsidR="00B60D1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da com o </w:t>
      </w:r>
      <w:r w:rsidR="00624B4A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princípio da</w:t>
      </w:r>
      <w:r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 xml:space="preserve"> territorialidade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</w:t>
      </w:r>
      <w:r w:rsidR="00B60D1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perspectiva 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defendida</w:t>
      </w:r>
      <w:r w:rsidR="00B60D1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pelo professor castelhano </w:t>
      </w:r>
      <w:r w:rsidR="00B60D12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Alfonso Garcia</w:t>
      </w:r>
      <w:r w:rsidR="00B60D1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, </w:t>
      </w:r>
      <w:r w:rsidR="00DD70D8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onde a aplicação era feita com base </w:t>
      </w:r>
      <w:r w:rsidR="00DD70D8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lastRenderedPageBreak/>
        <w:t xml:space="preserve">no território, e nesse contexto, </w:t>
      </w:r>
      <w:r w:rsidR="00DE5545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(</w:t>
      </w:r>
      <w:r w:rsidR="00DD70D8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uma vez que as duas compilações apresentam uma diferença temporal</w:t>
      </w:r>
      <w:r w:rsidR="00DE5545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) </w:t>
      </w:r>
      <w:r w:rsidR="00D57C1F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o </w:t>
      </w:r>
      <w:r w:rsidR="00D57C1F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Breviário de Alarico</w:t>
      </w:r>
      <w:r w:rsidR="00D57C1F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teria </w:t>
      </w:r>
      <w:r w:rsidR="00DE5545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revogado</w:t>
      </w:r>
      <w:r w:rsidR="00D57C1F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o </w:t>
      </w:r>
      <w:r w:rsidR="00D57C1F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Código de Eurico</w:t>
      </w:r>
      <w:r w:rsidR="00DE5545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.</w:t>
      </w:r>
      <w:r w:rsidR="00DD70D8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4E270C" w:rsidRPr="006D498E" w:rsidRDefault="004E270C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O debate vai albergar diversos argumentos, no entanto, por pouco se saber acerca do Código de Eurico, (ao contrário do </w:t>
      </w:r>
      <w:r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Breviário de Alarico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), </w:t>
      </w:r>
      <w:r w:rsidR="00E13C4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vai originar a que exista um argumento para ambas as posições, neste </w:t>
      </w:r>
      <w:proofErr w:type="gramStart"/>
      <w:r w:rsidR="00E13C4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caso</w:t>
      </w:r>
      <w:proofErr w:type="gramEnd"/>
      <w:r w:rsidR="00E13C4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proofErr w:type="gramStart"/>
      <w:r w:rsidR="00E13C4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o</w:t>
      </w:r>
      <w:proofErr w:type="gramEnd"/>
      <w:r w:rsidR="00E13C4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r w:rsidR="00BE2E6C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do silêncio.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593FEE" w:rsidRPr="006D498E" w:rsidRDefault="000F1271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O professor </w:t>
      </w:r>
      <w:r w:rsidRPr="006D498E">
        <w:rPr>
          <w:rFonts w:ascii="Garamond" w:hAnsi="Garamond"/>
          <w:bCs/>
          <w:iCs/>
          <w:smallCaps/>
          <w:color w:val="252525"/>
          <w:szCs w:val="24"/>
          <w:shd w:val="clear" w:color="auto" w:fill="FFFFFF"/>
        </w:rPr>
        <w:t>Paulo Manuel Mereira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,</w:t>
      </w:r>
      <w:r w:rsidR="0066131D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  <w:r w:rsidR="00D349C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historiador da Universidade de Coimbra, vai discutir com outros historiadores europeus a questão, aceitando parcialmente </w:t>
      </w:r>
      <w:r w:rsidR="00E5782B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a ideia da </w:t>
      </w:r>
      <w:r w:rsidR="00E5782B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territorialidade</w:t>
      </w:r>
      <w:r w:rsidR="00E5782B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na aplicação, </w:t>
      </w:r>
      <w:r w:rsidR="00593FEE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defendia que ambos os princípios adquirem natureza diferente. 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0F1271" w:rsidRPr="006D498E" w:rsidRDefault="00593FE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Para este autor, o </w:t>
      </w:r>
      <w:r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Breviário de Alarico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é de aplicação </w:t>
      </w:r>
      <w:r w:rsidR="00AE0F1E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subsidiária, nos</w:t>
      </w:r>
      <w:r w:rsidR="00D37AC7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casos em que o </w:t>
      </w:r>
      <w:r w:rsidR="00D37AC7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Código de Eurico</w:t>
      </w:r>
      <w:r w:rsidR="00D37AC7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não </w:t>
      </w:r>
      <w:r w:rsidR="00F17241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preenchesse suficientemente </w:t>
      </w:r>
      <w:r w:rsidR="00B001C7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o jurídico.</w:t>
      </w:r>
      <w:r w:rsidR="00D37AC7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B60D12" w:rsidRPr="006D498E" w:rsidRDefault="00B001C7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Na óptica de </w:t>
      </w:r>
      <w:r w:rsidRPr="006D498E">
        <w:rPr>
          <w:rFonts w:ascii="Garamond" w:hAnsi="Garamond"/>
          <w:bCs/>
          <w:iCs/>
          <w:smallCaps/>
          <w:color w:val="252525"/>
          <w:szCs w:val="24"/>
          <w:shd w:val="clear" w:color="auto" w:fill="FFFFFF"/>
        </w:rPr>
        <w:t>d’Ors</w:t>
      </w:r>
      <w:r w:rsidRPr="006D498E">
        <w:rPr>
          <w:rFonts w:ascii="Garamond" w:hAnsi="Garamond"/>
          <w:bCs/>
          <w:iCs/>
          <w:smallCaps/>
          <w:color w:val="252525"/>
          <w:szCs w:val="24"/>
          <w:shd w:val="clear" w:color="auto" w:fill="FFFFFF"/>
        </w:rPr>
        <w:t xml:space="preserve">, 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o </w:t>
      </w:r>
      <w:r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Breviário de Alarico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era uma obra formativa, </w:t>
      </w:r>
      <w:r w:rsidR="001C42EC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destinada </w:t>
      </w:r>
      <w:proofErr w:type="gramStart"/>
      <w:r w:rsidR="001C42EC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ao juízes</w:t>
      </w:r>
      <w:proofErr w:type="gramEnd"/>
      <w:r w:rsidR="001C42EC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, para apli</w:t>
      </w:r>
      <w:r w:rsidR="0054421D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cação do direito nos tribunais.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D57510" w:rsidRPr="006D498E" w:rsidRDefault="00375F39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No ano de 507 morre no rei Alarico II, numa batalha do centro de França, </w:t>
      </w:r>
      <w:r w:rsidR="00C7493D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onde estes povos perdem para os francos grande parte do ter</w:t>
      </w:r>
      <w:r w:rsidR="00E70BF5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ritório que era por si ocu</w:t>
      </w:r>
      <w:r w:rsidR="00C061D0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pado, passando a partir daqui a ficar concentrados nas suas terras de Espanha.</w:t>
      </w:r>
      <w:r w:rsidR="00D57510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646C06" w:rsidRPr="006D498E" w:rsidRDefault="00D57510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szCs w:val="24"/>
          <w:shd w:val="clear" w:color="auto" w:fill="FFFFFF"/>
        </w:rPr>
        <w:t>Surge</w:t>
      </w:r>
      <w:r w:rsidR="0086777B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 por volta de 572 ou 586,</w:t>
      </w:r>
      <w:r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 o </w:t>
      </w:r>
      <w:r w:rsidRPr="006D498E">
        <w:rPr>
          <w:rFonts w:ascii="Garamond" w:hAnsi="Garamond"/>
          <w:bCs/>
          <w:i/>
          <w:iCs/>
          <w:szCs w:val="24"/>
          <w:shd w:val="clear" w:color="auto" w:fill="FFFFFF"/>
        </w:rPr>
        <w:t>Codex Revisius</w:t>
      </w:r>
      <w:r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, </w:t>
      </w:r>
      <w:r w:rsidR="00A7116F" w:rsidRPr="006D498E">
        <w:rPr>
          <w:rFonts w:ascii="Garamond" w:hAnsi="Garamond"/>
          <w:bCs/>
          <w:iCs/>
          <w:szCs w:val="24"/>
          <w:shd w:val="clear" w:color="auto" w:fill="FFFFFF"/>
        </w:rPr>
        <w:t>(</w:t>
      </w:r>
      <w:r w:rsidR="00A7116F" w:rsidRPr="006D498E">
        <w:rPr>
          <w:rFonts w:ascii="Garamond" w:hAnsi="Garamond"/>
          <w:bCs/>
          <w:i/>
          <w:iCs/>
          <w:szCs w:val="24"/>
          <w:shd w:val="clear" w:color="auto" w:fill="FFFFFF"/>
        </w:rPr>
        <w:t>Código intermédio</w:t>
      </w:r>
      <w:r w:rsidR="00A7116F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) </w:t>
      </w:r>
      <w:r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que foi uma revisão do Código de Eurico, </w:t>
      </w:r>
      <w:r w:rsidR="006426BD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obra esta atribuída ao rei </w:t>
      </w:r>
      <w:r w:rsidR="0046604C" w:rsidRPr="006D498E">
        <w:rPr>
          <w:rFonts w:ascii="Garamond" w:hAnsi="Garamond"/>
          <w:bCs/>
          <w:iCs/>
          <w:smallCaps/>
          <w:szCs w:val="24"/>
          <w:shd w:val="clear" w:color="auto" w:fill="FFFFFF"/>
        </w:rPr>
        <w:t>Leovigildo</w:t>
      </w:r>
      <w:r w:rsidR="001E5D94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. </w:t>
      </w:r>
      <w:r w:rsidR="00646C06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Não se sabe praticamente nada acerca desta compilação, </w:t>
      </w:r>
      <w:r w:rsidR="00A47C8B" w:rsidRPr="006D498E">
        <w:rPr>
          <w:rFonts w:ascii="Garamond" w:hAnsi="Garamond"/>
          <w:bCs/>
          <w:iCs/>
          <w:szCs w:val="24"/>
          <w:shd w:val="clear" w:color="auto" w:fill="FFFFFF"/>
        </w:rPr>
        <w:t>apenas que durante o reinado de Leovigildo foram promulgadas novas leis que historicamente se as</w:t>
      </w:r>
      <w:r w:rsidR="00A7116F" w:rsidRPr="006D498E">
        <w:rPr>
          <w:rFonts w:ascii="Garamond" w:hAnsi="Garamond"/>
          <w:bCs/>
          <w:iCs/>
          <w:szCs w:val="24"/>
          <w:shd w:val="clear" w:color="auto" w:fill="FFFFFF"/>
        </w:rPr>
        <w:t>sume serem do Código de Eurico</w:t>
      </w:r>
      <w:r w:rsidR="00DB5B5A" w:rsidRPr="006D498E">
        <w:rPr>
          <w:rFonts w:ascii="Garamond" w:hAnsi="Garamond"/>
          <w:bCs/>
          <w:iCs/>
          <w:szCs w:val="24"/>
          <w:shd w:val="clear" w:color="auto" w:fill="FFFFFF"/>
        </w:rPr>
        <w:t>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szCs w:val="24"/>
          <w:shd w:val="clear" w:color="auto" w:fill="FFFFFF"/>
        </w:rPr>
      </w:pPr>
    </w:p>
    <w:p w:rsidR="006A3D20" w:rsidRPr="006D498E" w:rsidRDefault="001E5D94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Já no século VII, surgiu a última compilação, o </w:t>
      </w:r>
      <w:r w:rsidRPr="006D498E">
        <w:rPr>
          <w:rFonts w:ascii="Garamond" w:hAnsi="Garamond"/>
          <w:bCs/>
          <w:i/>
          <w:iCs/>
          <w:szCs w:val="24"/>
          <w:shd w:val="clear" w:color="auto" w:fill="FFFFFF"/>
        </w:rPr>
        <w:t>Código Visigótico</w:t>
      </w:r>
      <w:r w:rsidRPr="006D498E">
        <w:rPr>
          <w:rFonts w:ascii="Garamond" w:hAnsi="Garamond"/>
          <w:bCs/>
          <w:iCs/>
          <w:szCs w:val="24"/>
          <w:shd w:val="clear" w:color="auto" w:fill="FFFFFF"/>
        </w:rPr>
        <w:t>, promulgado pela primeira vez em 654</w:t>
      </w:r>
      <w:r w:rsidR="00E3785C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, </w:t>
      </w:r>
      <w:r w:rsidR="0015708C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em três versões, </w:t>
      </w:r>
      <w:r w:rsidR="00DA1B49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que servirá como base, séculos mais tarde, </w:t>
      </w:r>
      <w:r w:rsidR="002633E6" w:rsidRPr="006D498E">
        <w:rPr>
          <w:rFonts w:ascii="Garamond" w:hAnsi="Garamond"/>
          <w:bCs/>
          <w:iCs/>
          <w:szCs w:val="24"/>
          <w:shd w:val="clear" w:color="auto" w:fill="FFFFFF"/>
        </w:rPr>
        <w:t>(</w:t>
      </w:r>
      <w:r w:rsidR="002633E6" w:rsidRPr="006D498E">
        <w:rPr>
          <w:rFonts w:ascii="Garamond" w:hAnsi="Garamond"/>
          <w:bCs/>
          <w:i/>
          <w:iCs/>
          <w:szCs w:val="24"/>
          <w:shd w:val="clear" w:color="auto" w:fill="FFFFFF"/>
        </w:rPr>
        <w:t>séc. XIII</w:t>
      </w:r>
      <w:r w:rsidR="002633E6" w:rsidRPr="006D498E">
        <w:rPr>
          <w:rFonts w:ascii="Garamond" w:hAnsi="Garamond"/>
          <w:bCs/>
          <w:iCs/>
          <w:szCs w:val="24"/>
          <w:shd w:val="clear" w:color="auto" w:fill="FFFFFF"/>
        </w:rPr>
        <w:t xml:space="preserve">), </w:t>
      </w:r>
      <w:r w:rsidR="00DA1B49" w:rsidRPr="006D498E">
        <w:rPr>
          <w:rFonts w:ascii="Garamond" w:hAnsi="Garamond"/>
          <w:bCs/>
          <w:iCs/>
          <w:szCs w:val="24"/>
          <w:shd w:val="clear" w:color="auto" w:fill="FFFFFF"/>
        </w:rPr>
        <w:t>para</w:t>
      </w:r>
      <w:r w:rsidR="00DA1B49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uma outra compilação </w:t>
      </w:r>
      <w:r w:rsidR="001B0C05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castelhana </w:t>
      </w:r>
      <w:r w:rsidR="002633E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denominada por </w:t>
      </w:r>
      <w:r w:rsidR="002633E6" w:rsidRPr="006D498E">
        <w:rPr>
          <w:rFonts w:ascii="Garamond" w:hAnsi="Garamond"/>
          <w:bCs/>
          <w:i/>
          <w:iCs/>
          <w:color w:val="252525"/>
          <w:szCs w:val="24"/>
          <w:shd w:val="clear" w:color="auto" w:fill="FFFFFF"/>
        </w:rPr>
        <w:t>Fuero Juzgo</w:t>
      </w:r>
      <w:r w:rsidR="00C63218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, fortemente influenciada pelo Código Visigótico.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111E1D" w:rsidRPr="006D498E" w:rsidRDefault="00111E1D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Entretanto os árabes ocupam durante sete séculos a península ibérica, expulsando os visigodos, </w:t>
      </w:r>
      <w:r w:rsidR="003A34B6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sendo que as comunidades cristãs adaptar-se-ão às regras islâmicas, mas a elas não se revertem, </w:t>
      </w:r>
      <w:r w:rsidR="001467BE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motivo pelo qual vão conservar como seu direito o visigótic</w:t>
      </w:r>
      <w:r w:rsidR="00ED23D3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o, ou seja, o Código Visigótico, através do povo moçárabe.</w:t>
      </w:r>
    </w:p>
    <w:p w:rsidR="006D498E" w:rsidRPr="006D498E" w:rsidRDefault="006D498E" w:rsidP="006D498E">
      <w:pPr>
        <w:spacing w:after="0" w:line="340" w:lineRule="atLeast"/>
        <w:ind w:firstLine="567"/>
        <w:jc w:val="both"/>
        <w:rPr>
          <w:rFonts w:ascii="Garamond" w:hAnsi="Garamond"/>
          <w:bCs/>
          <w:iCs/>
          <w:color w:val="252525"/>
          <w:szCs w:val="24"/>
          <w:shd w:val="clear" w:color="auto" w:fill="FFFFFF"/>
        </w:rPr>
      </w:pPr>
    </w:p>
    <w:p w:rsidR="00875763" w:rsidRPr="006D498E" w:rsidRDefault="003F61E9" w:rsidP="006D498E">
      <w:pPr>
        <w:spacing w:after="0" w:line="340" w:lineRule="atLeast"/>
        <w:ind w:firstLine="567"/>
        <w:jc w:val="both"/>
        <w:rPr>
          <w:rFonts w:ascii="Garamond" w:hAnsi="Garamond"/>
          <w:szCs w:val="24"/>
        </w:rPr>
      </w:pP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O direito visigót</w:t>
      </w:r>
      <w:r w:rsidR="00E8500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ico incide sobre</w:t>
      </w:r>
      <w:r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 o direito português </w:t>
      </w:r>
      <w:r w:rsidR="00E85002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por essa mesma razão de aplicação por parte dos cristãos, </w:t>
      </w:r>
      <w:r w:rsidR="00A079C3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 xml:space="preserve">assim como no início da nacionalidade portuguesa (séc. XII), são feitas essas referências ao código visigótico, </w:t>
      </w:r>
      <w:r w:rsidR="00102693" w:rsidRPr="006D498E">
        <w:rPr>
          <w:rFonts w:ascii="Garamond" w:hAnsi="Garamond"/>
          <w:bCs/>
          <w:iCs/>
          <w:color w:val="252525"/>
          <w:szCs w:val="24"/>
          <w:shd w:val="clear" w:color="auto" w:fill="FFFFFF"/>
        </w:rPr>
        <w:t>isto até ao século XII, onde desaparecem.</w:t>
      </w:r>
    </w:p>
    <w:p w:rsidR="00EC5A78" w:rsidRPr="006D498E" w:rsidRDefault="00EC5A78" w:rsidP="006D498E">
      <w:pPr>
        <w:spacing w:after="0" w:line="340" w:lineRule="atLeast"/>
        <w:ind w:firstLine="567"/>
        <w:jc w:val="both"/>
        <w:rPr>
          <w:rFonts w:ascii="Garamond" w:hAnsi="Garamond"/>
          <w:szCs w:val="24"/>
        </w:rPr>
      </w:pPr>
    </w:p>
    <w:p w:rsidR="00EC5A78" w:rsidRDefault="00EC5A78" w:rsidP="004E6C3C">
      <w:pPr>
        <w:spacing w:after="0" w:line="340" w:lineRule="atLeast"/>
        <w:ind w:left="-284" w:right="-285"/>
        <w:jc w:val="both"/>
        <w:rPr>
          <w:rFonts w:ascii="Garamond" w:hAnsi="Garamond"/>
          <w:sz w:val="24"/>
          <w:szCs w:val="24"/>
        </w:rPr>
      </w:pPr>
    </w:p>
    <w:sectPr w:rsidR="00EC5A78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29D5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1271"/>
    <w:rsid w:val="000F5C17"/>
    <w:rsid w:val="00102535"/>
    <w:rsid w:val="00102693"/>
    <w:rsid w:val="0010690B"/>
    <w:rsid w:val="00111C83"/>
    <w:rsid w:val="00111E1D"/>
    <w:rsid w:val="00132BEE"/>
    <w:rsid w:val="001467BE"/>
    <w:rsid w:val="0015708C"/>
    <w:rsid w:val="001B0C05"/>
    <w:rsid w:val="001B0C22"/>
    <w:rsid w:val="001B7E2A"/>
    <w:rsid w:val="001C42EC"/>
    <w:rsid w:val="001C6E86"/>
    <w:rsid w:val="001E3564"/>
    <w:rsid w:val="001E5D94"/>
    <w:rsid w:val="001F6B7E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33E6"/>
    <w:rsid w:val="002657AE"/>
    <w:rsid w:val="0026740D"/>
    <w:rsid w:val="00270E8B"/>
    <w:rsid w:val="00274A7A"/>
    <w:rsid w:val="00297A4A"/>
    <w:rsid w:val="002C0AEA"/>
    <w:rsid w:val="002C2598"/>
    <w:rsid w:val="002D6F9B"/>
    <w:rsid w:val="002E00FA"/>
    <w:rsid w:val="002F23F0"/>
    <w:rsid w:val="00304158"/>
    <w:rsid w:val="00337C6E"/>
    <w:rsid w:val="0035782A"/>
    <w:rsid w:val="00371048"/>
    <w:rsid w:val="00375F39"/>
    <w:rsid w:val="003948EC"/>
    <w:rsid w:val="00396D1C"/>
    <w:rsid w:val="003A34B6"/>
    <w:rsid w:val="003A35DC"/>
    <w:rsid w:val="003C4F3D"/>
    <w:rsid w:val="003C7429"/>
    <w:rsid w:val="003F2CD3"/>
    <w:rsid w:val="003F61E9"/>
    <w:rsid w:val="003F62BC"/>
    <w:rsid w:val="00404D4C"/>
    <w:rsid w:val="004058C0"/>
    <w:rsid w:val="004078E0"/>
    <w:rsid w:val="004342CC"/>
    <w:rsid w:val="00445233"/>
    <w:rsid w:val="004625F0"/>
    <w:rsid w:val="0046604C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1BEA"/>
    <w:rsid w:val="004E270C"/>
    <w:rsid w:val="004E6C3C"/>
    <w:rsid w:val="004F0BF4"/>
    <w:rsid w:val="004F3E5E"/>
    <w:rsid w:val="0051090C"/>
    <w:rsid w:val="00513D18"/>
    <w:rsid w:val="005244E4"/>
    <w:rsid w:val="00537F2F"/>
    <w:rsid w:val="00540C7D"/>
    <w:rsid w:val="0054421D"/>
    <w:rsid w:val="005507C9"/>
    <w:rsid w:val="00555C14"/>
    <w:rsid w:val="00555ED5"/>
    <w:rsid w:val="00580E48"/>
    <w:rsid w:val="00593A91"/>
    <w:rsid w:val="00593FEE"/>
    <w:rsid w:val="005B32D2"/>
    <w:rsid w:val="005C0CBB"/>
    <w:rsid w:val="005C7F04"/>
    <w:rsid w:val="005E623A"/>
    <w:rsid w:val="005F59CE"/>
    <w:rsid w:val="00612862"/>
    <w:rsid w:val="00620795"/>
    <w:rsid w:val="00624B4A"/>
    <w:rsid w:val="00627682"/>
    <w:rsid w:val="006309DE"/>
    <w:rsid w:val="00632B75"/>
    <w:rsid w:val="006426BD"/>
    <w:rsid w:val="006432CF"/>
    <w:rsid w:val="00646C06"/>
    <w:rsid w:val="0066131D"/>
    <w:rsid w:val="00662509"/>
    <w:rsid w:val="0066371A"/>
    <w:rsid w:val="00677F61"/>
    <w:rsid w:val="00683ABF"/>
    <w:rsid w:val="00684809"/>
    <w:rsid w:val="00695AA7"/>
    <w:rsid w:val="006A3D20"/>
    <w:rsid w:val="006A747C"/>
    <w:rsid w:val="006B0CB0"/>
    <w:rsid w:val="006B56FB"/>
    <w:rsid w:val="006B7DC9"/>
    <w:rsid w:val="006D498E"/>
    <w:rsid w:val="006D6B04"/>
    <w:rsid w:val="006F0701"/>
    <w:rsid w:val="006F6ED2"/>
    <w:rsid w:val="007009BF"/>
    <w:rsid w:val="00737B70"/>
    <w:rsid w:val="0075155C"/>
    <w:rsid w:val="00775A19"/>
    <w:rsid w:val="00790045"/>
    <w:rsid w:val="00791133"/>
    <w:rsid w:val="0079460D"/>
    <w:rsid w:val="00797932"/>
    <w:rsid w:val="007B50A4"/>
    <w:rsid w:val="007D3ED2"/>
    <w:rsid w:val="007E17AD"/>
    <w:rsid w:val="008046BB"/>
    <w:rsid w:val="0080672B"/>
    <w:rsid w:val="0080787E"/>
    <w:rsid w:val="00807BD3"/>
    <w:rsid w:val="00810153"/>
    <w:rsid w:val="00827D4B"/>
    <w:rsid w:val="0084029C"/>
    <w:rsid w:val="00860B92"/>
    <w:rsid w:val="0086777B"/>
    <w:rsid w:val="0087238A"/>
    <w:rsid w:val="008730C2"/>
    <w:rsid w:val="00874FBE"/>
    <w:rsid w:val="00875763"/>
    <w:rsid w:val="00880F6A"/>
    <w:rsid w:val="008902DE"/>
    <w:rsid w:val="008A006F"/>
    <w:rsid w:val="008D24EC"/>
    <w:rsid w:val="008E3273"/>
    <w:rsid w:val="008F7548"/>
    <w:rsid w:val="00903AE9"/>
    <w:rsid w:val="0090679B"/>
    <w:rsid w:val="009159C2"/>
    <w:rsid w:val="009219EF"/>
    <w:rsid w:val="00921F7F"/>
    <w:rsid w:val="009327DF"/>
    <w:rsid w:val="009327F2"/>
    <w:rsid w:val="00943A08"/>
    <w:rsid w:val="009522FF"/>
    <w:rsid w:val="0095383F"/>
    <w:rsid w:val="00970EB5"/>
    <w:rsid w:val="009804FB"/>
    <w:rsid w:val="00982F14"/>
    <w:rsid w:val="00994BE0"/>
    <w:rsid w:val="009A5FCF"/>
    <w:rsid w:val="009B1E67"/>
    <w:rsid w:val="009B2828"/>
    <w:rsid w:val="009B45CE"/>
    <w:rsid w:val="009F0126"/>
    <w:rsid w:val="00A00D84"/>
    <w:rsid w:val="00A01DF6"/>
    <w:rsid w:val="00A079C3"/>
    <w:rsid w:val="00A1116C"/>
    <w:rsid w:val="00A114CC"/>
    <w:rsid w:val="00A15010"/>
    <w:rsid w:val="00A23910"/>
    <w:rsid w:val="00A2743C"/>
    <w:rsid w:val="00A304FB"/>
    <w:rsid w:val="00A47C8B"/>
    <w:rsid w:val="00A7116F"/>
    <w:rsid w:val="00A81166"/>
    <w:rsid w:val="00A8438D"/>
    <w:rsid w:val="00A8498F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0F1E"/>
    <w:rsid w:val="00AE38F9"/>
    <w:rsid w:val="00AE5C6B"/>
    <w:rsid w:val="00AF18F3"/>
    <w:rsid w:val="00AF229C"/>
    <w:rsid w:val="00AF26D2"/>
    <w:rsid w:val="00AF3D46"/>
    <w:rsid w:val="00B001C7"/>
    <w:rsid w:val="00B03C48"/>
    <w:rsid w:val="00B131E3"/>
    <w:rsid w:val="00B202B0"/>
    <w:rsid w:val="00B25415"/>
    <w:rsid w:val="00B261AD"/>
    <w:rsid w:val="00B3180D"/>
    <w:rsid w:val="00B37F22"/>
    <w:rsid w:val="00B4692F"/>
    <w:rsid w:val="00B47514"/>
    <w:rsid w:val="00B60D12"/>
    <w:rsid w:val="00B66844"/>
    <w:rsid w:val="00B671E5"/>
    <w:rsid w:val="00B97A04"/>
    <w:rsid w:val="00BA7C54"/>
    <w:rsid w:val="00BE2E6C"/>
    <w:rsid w:val="00C009C1"/>
    <w:rsid w:val="00C01AD7"/>
    <w:rsid w:val="00C061D0"/>
    <w:rsid w:val="00C1597F"/>
    <w:rsid w:val="00C506B7"/>
    <w:rsid w:val="00C521AC"/>
    <w:rsid w:val="00C63218"/>
    <w:rsid w:val="00C668E8"/>
    <w:rsid w:val="00C7493D"/>
    <w:rsid w:val="00C75171"/>
    <w:rsid w:val="00CB4AA0"/>
    <w:rsid w:val="00CB668E"/>
    <w:rsid w:val="00CD3C94"/>
    <w:rsid w:val="00CD5851"/>
    <w:rsid w:val="00CF2578"/>
    <w:rsid w:val="00D16E9D"/>
    <w:rsid w:val="00D227F8"/>
    <w:rsid w:val="00D349C2"/>
    <w:rsid w:val="00D37AC7"/>
    <w:rsid w:val="00D57510"/>
    <w:rsid w:val="00D57C1F"/>
    <w:rsid w:val="00D6218E"/>
    <w:rsid w:val="00D66A24"/>
    <w:rsid w:val="00D91335"/>
    <w:rsid w:val="00D97437"/>
    <w:rsid w:val="00DA1B49"/>
    <w:rsid w:val="00DA3DD0"/>
    <w:rsid w:val="00DA6E69"/>
    <w:rsid w:val="00DB5B5A"/>
    <w:rsid w:val="00DB78D8"/>
    <w:rsid w:val="00DC32CA"/>
    <w:rsid w:val="00DD3FE3"/>
    <w:rsid w:val="00DD46F9"/>
    <w:rsid w:val="00DD6324"/>
    <w:rsid w:val="00DD70D8"/>
    <w:rsid w:val="00DD7822"/>
    <w:rsid w:val="00DE333A"/>
    <w:rsid w:val="00DE5545"/>
    <w:rsid w:val="00DE7BE3"/>
    <w:rsid w:val="00E03B93"/>
    <w:rsid w:val="00E13C46"/>
    <w:rsid w:val="00E13DF2"/>
    <w:rsid w:val="00E158F4"/>
    <w:rsid w:val="00E21CAA"/>
    <w:rsid w:val="00E27621"/>
    <w:rsid w:val="00E3785C"/>
    <w:rsid w:val="00E43139"/>
    <w:rsid w:val="00E552DE"/>
    <w:rsid w:val="00E57347"/>
    <w:rsid w:val="00E5782B"/>
    <w:rsid w:val="00E60B97"/>
    <w:rsid w:val="00E610EA"/>
    <w:rsid w:val="00E63889"/>
    <w:rsid w:val="00E65366"/>
    <w:rsid w:val="00E65670"/>
    <w:rsid w:val="00E70BF5"/>
    <w:rsid w:val="00E8193E"/>
    <w:rsid w:val="00E85002"/>
    <w:rsid w:val="00E878B3"/>
    <w:rsid w:val="00EB0B4D"/>
    <w:rsid w:val="00EC5A78"/>
    <w:rsid w:val="00ED23D3"/>
    <w:rsid w:val="00ED7D29"/>
    <w:rsid w:val="00EE1AB9"/>
    <w:rsid w:val="00EF3CD5"/>
    <w:rsid w:val="00EF4DA7"/>
    <w:rsid w:val="00F005C0"/>
    <w:rsid w:val="00F17241"/>
    <w:rsid w:val="00F24B7C"/>
    <w:rsid w:val="00F308F2"/>
    <w:rsid w:val="00F41431"/>
    <w:rsid w:val="00F56036"/>
    <w:rsid w:val="00F60404"/>
    <w:rsid w:val="00F61C3E"/>
    <w:rsid w:val="00F962B5"/>
    <w:rsid w:val="00FA3F48"/>
    <w:rsid w:val="00FB6C2C"/>
    <w:rsid w:val="00FC0950"/>
    <w:rsid w:val="00FC2EAA"/>
    <w:rsid w:val="00FD1F91"/>
    <w:rsid w:val="00FD4A1F"/>
    <w:rsid w:val="00FD4D49"/>
    <w:rsid w:val="00FD7E14"/>
    <w:rsid w:val="00FE291B"/>
    <w:rsid w:val="00FE445E"/>
    <w:rsid w:val="00FF022C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315A-484E-4DF5-A35B-DFA3088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248</cp:revision>
  <cp:lastPrinted>2014-03-24T17:39:00Z</cp:lastPrinted>
  <dcterms:created xsi:type="dcterms:W3CDTF">2014-03-21T09:01:00Z</dcterms:created>
  <dcterms:modified xsi:type="dcterms:W3CDTF">2014-04-14T16:12:00Z</dcterms:modified>
</cp:coreProperties>
</file>