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DA" w:rsidRPr="00BE4DA2" w:rsidRDefault="00560CDA" w:rsidP="00560CDA">
      <w:pPr>
        <w:jc w:val="center"/>
        <w:rPr>
          <w:rFonts w:ascii="Garamond" w:hAnsi="Garamond"/>
          <w:b/>
          <w:smallCaps/>
          <w:sz w:val="28"/>
          <w:szCs w:val="28"/>
        </w:rPr>
      </w:pPr>
      <w:r w:rsidRPr="00BE4DA2">
        <w:rPr>
          <w:rFonts w:ascii="Garamond" w:hAnsi="Garamond"/>
          <w:b/>
          <w:smallCaps/>
          <w:sz w:val="28"/>
          <w:szCs w:val="28"/>
        </w:rPr>
        <w:t>Sistema de Fiscalização da Constitucionalidade Português</w:t>
      </w:r>
    </w:p>
    <w:tbl>
      <w:tblPr>
        <w:tblStyle w:val="TableGrid"/>
        <w:tblW w:w="9214" w:type="dxa"/>
        <w:tblInd w:w="-459" w:type="dxa"/>
        <w:tblLook w:val="04A0"/>
      </w:tblPr>
      <w:tblGrid>
        <w:gridCol w:w="4322"/>
        <w:gridCol w:w="4892"/>
      </w:tblGrid>
      <w:tr w:rsidR="00560CDA" w:rsidTr="005E4BCF">
        <w:trPr>
          <w:trHeight w:val="623"/>
        </w:trPr>
        <w:tc>
          <w:tcPr>
            <w:tcW w:w="9214" w:type="dxa"/>
            <w:gridSpan w:val="2"/>
          </w:tcPr>
          <w:p w:rsidR="00560CDA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</w:p>
          <w:p w:rsidR="00560CDA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  <w:t>Processos ou aos modos de fiscalização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</w:p>
        </w:tc>
      </w:tr>
      <w:tr w:rsidR="00560CDA" w:rsidTr="005E4BCF">
        <w:trPr>
          <w:trHeight w:val="985"/>
        </w:trPr>
        <w:tc>
          <w:tcPr>
            <w:tcW w:w="4322" w:type="dxa"/>
          </w:tcPr>
          <w:p w:rsidR="00560CDA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iscalização difusa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204.º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</w:t>
            </w:r>
            <w:proofErr w:type="gramEnd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280.º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da CRP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)</w:t>
            </w:r>
          </w:p>
          <w:p w:rsidR="00560CDA" w:rsidRPr="007E643C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quela em que todos os tribunais podem proceder ao controlo da constitucionalidade</w:t>
            </w:r>
          </w:p>
        </w:tc>
        <w:tc>
          <w:tcPr>
            <w:tcW w:w="4892" w:type="dxa"/>
          </w:tcPr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iscalização concentrada</w:t>
            </w:r>
          </w:p>
          <w:p w:rsidR="00560CDA" w:rsidRPr="006E106B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6E106B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6E106B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6E106B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223.º, n.º 1, da CRP)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quela em que o órgão que procede ao controlo é o Tribunal Constitucional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</w:p>
        </w:tc>
      </w:tr>
      <w:tr w:rsidR="00560CDA" w:rsidTr="005E4BCF">
        <w:trPr>
          <w:trHeight w:val="844"/>
        </w:trPr>
        <w:tc>
          <w:tcPr>
            <w:tcW w:w="4322" w:type="dxa"/>
          </w:tcPr>
          <w:p w:rsidR="00560CDA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 xml:space="preserve">iscalização </w:t>
            </w:r>
            <w:proofErr w:type="spellStart"/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abstracta</w:t>
            </w:r>
            <w:proofErr w:type="spellEnd"/>
          </w:p>
          <w:p w:rsidR="00560CDA" w:rsidRPr="00183D64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81</w:t>
            </w: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.º CRP)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Trata-se de um </w:t>
            </w:r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controlo de normas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;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de um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controlo jurisdicional, que consiste num «processo constitucional dirigido à fiscalização e decisão com força obrigatória geral (com força de lei) da validade formal ou material de uma norma jurídica».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Este controlo jurisdicional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efectuado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em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abstracto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pode, temporalmente</w:t>
            </w:r>
            <w:proofErr w:type="gram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,</w:t>
            </w:r>
            <w:proofErr w:type="gram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ser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efectuado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prévia ou sucessivamente à entrada em vigor da política pública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objecto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de controlo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4892" w:type="dxa"/>
          </w:tcPr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iscalização concreta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204.º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</w:t>
            </w:r>
            <w:proofErr w:type="gramEnd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280.º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da CRP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)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Todos os tribunais, seja qual for a sua categoria (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209.º), exercem fiscalização – a qual implica «apreciação», e não simplesmente «não aplicação»;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 fiscalização dá-se nos «feitos submetidos a julgamento», nos processos em curso em tribunal, incidentalmente, não a título principal;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Ninguém pode dirigir-se a tribunal a pedir a declaração de inconstitucionalidade de uma norma, mas é admissível que alguém se lhe dirija propondo uma ação tendente à declaração ou à realização de um seu direito ou interesse, cuja procedência depende de uma decisão positiva de inconstitucionalidade – é o que suc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ede hoje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nas ações para efetivação de responsabilidade civil 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do Estado por atos legislativos.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 questão de inconstitucionalidade só pode e só deve ser conhecida e decidida na medida em que haja um nexo incindível entre ela e a questão principal objeto do processo, entre ela e o feito submetido a julgamento;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Trata-se de </w:t>
            </w:r>
            <w:r w:rsidRPr="006E106B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questão prejudicial imprópria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, porque questão que se cumula com a questão objeto do processo e cujo julgamento cabe ao mesmo tribunal, não se devolve para outro processo ou para outro tribunal. </w:t>
            </w:r>
            <w:r w:rsidRPr="006E106B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Questão prejudicial própria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só se verifica, quando haja recurso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para o Tribunal Constitucional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</w:p>
        </w:tc>
      </w:tr>
      <w:tr w:rsidR="00560CDA" w:rsidTr="005E4BCF">
        <w:trPr>
          <w:trHeight w:val="1266"/>
        </w:trPr>
        <w:tc>
          <w:tcPr>
            <w:tcW w:w="4322" w:type="dxa"/>
          </w:tcPr>
          <w:p w:rsidR="00560CDA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 xml:space="preserve">iscalização por </w:t>
            </w:r>
            <w:proofErr w:type="spellStart"/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acção</w:t>
            </w:r>
            <w:proofErr w:type="spellEnd"/>
          </w:p>
          <w:p w:rsidR="00560CDA" w:rsidRPr="00183D64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277.º CRP)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É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efectuada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quando há uma </w:t>
            </w:r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norma jurídica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ou, pelo menos, um </w:t>
            </w:r>
            <w:proofErr w:type="spellStart"/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projecto</w:t>
            </w:r>
            <w:proofErr w:type="spellEnd"/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 xml:space="preserve"> de norma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que está prestes a tornar-se numa norma perfeita e definitiva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</w:t>
            </w:r>
          </w:p>
        </w:tc>
        <w:tc>
          <w:tcPr>
            <w:tcW w:w="4892" w:type="dxa"/>
          </w:tcPr>
          <w:p w:rsidR="00560CDA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iscalização por omissão</w:t>
            </w:r>
          </w:p>
          <w:p w:rsidR="00560CDA" w:rsidRPr="00183D64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83</w:t>
            </w: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.º CRP)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É </w:t>
            </w:r>
            <w:proofErr w:type="spellStart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efectuada</w:t>
            </w:r>
            <w:proofErr w:type="spellEnd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em casos 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e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inactividade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estatal, nomeadamente 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quando existe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violação dos deveres de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protecção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 promoção, dimensão positiva e direitos positivos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O conceito de </w:t>
            </w:r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omissão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, em termos jurídico-constitucionais, não se fica pelo mero silêncio, 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lastRenderedPageBreak/>
              <w:t>pelo mero não fazer. Pelo contrário, «significa não fazer aquilo a que se estava jurídico-constitucionalmente obrigado».</w:t>
            </w:r>
          </w:p>
        </w:tc>
      </w:tr>
      <w:tr w:rsidR="00560CDA" w:rsidTr="005E4BCF">
        <w:trPr>
          <w:trHeight w:val="547"/>
        </w:trPr>
        <w:tc>
          <w:tcPr>
            <w:tcW w:w="9214" w:type="dxa"/>
            <w:gridSpan w:val="2"/>
          </w:tcPr>
          <w:p w:rsidR="00560CDA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</w:p>
          <w:p w:rsidR="00560CDA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  <w:t>Momento da fiscalização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</w:p>
        </w:tc>
      </w:tr>
      <w:tr w:rsidR="00560CDA" w:rsidTr="005E4BCF">
        <w:trPr>
          <w:trHeight w:val="1035"/>
        </w:trPr>
        <w:tc>
          <w:tcPr>
            <w:tcW w:w="4322" w:type="dxa"/>
          </w:tcPr>
          <w:p w:rsidR="00560CDA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i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C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 xml:space="preserve">arácter prévio ou </w:t>
            </w:r>
            <w:proofErr w:type="gramStart"/>
            <w:r w:rsidRPr="00B252E0">
              <w:rPr>
                <w:rFonts w:ascii="Garamond" w:hAnsi="Garamond"/>
                <w:i/>
                <w:color w:val="auto"/>
                <w:sz w:val="24"/>
                <w:szCs w:val="24"/>
                <w:lang w:val="pt-PT"/>
              </w:rPr>
              <w:t>a priori</w:t>
            </w:r>
            <w:proofErr w:type="gramEnd"/>
          </w:p>
          <w:p w:rsidR="00560CDA" w:rsidRPr="00183D64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277.º CRP)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i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A </w:t>
            </w:r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 xml:space="preserve">fiscalização </w:t>
            </w:r>
            <w:proofErr w:type="spellStart"/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abstracta</w:t>
            </w:r>
            <w:proofErr w:type="spellEnd"/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 xml:space="preserve"> preventiva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consiste num processo de controlo de constitucionalidade, que incide sobre certas normas jurídicas antes de se encontrar concluída a sua formação, podendo um eventual juízo de constitucionalidade das mesmas, proferido pelo Tribunal Constitucional, resultar a preclusão da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respectiva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existência jurídica. Ou seja, este é um controlo que incide sobre «</w:t>
            </w:r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normas imperfeitas»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ou «</w:t>
            </w:r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pré-normas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», processando-se ainda durante o curso de aprovação das normas, por exemplo, antes da aprovação final das leis.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i/>
                <w:color w:val="auto"/>
                <w:sz w:val="24"/>
                <w:szCs w:val="24"/>
                <w:lang w:val="pt-PT"/>
              </w:rPr>
            </w:pP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i/>
                <w:color w:val="auto"/>
                <w:sz w:val="24"/>
                <w:szCs w:val="24"/>
                <w:lang w:val="pt-PT"/>
              </w:rPr>
            </w:pP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4892" w:type="dxa"/>
          </w:tcPr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i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C</w:t>
            </w: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 xml:space="preserve">arácter sucessivo ou </w:t>
            </w:r>
            <w:proofErr w:type="gramStart"/>
            <w:r w:rsidRPr="00B252E0">
              <w:rPr>
                <w:rFonts w:ascii="Garamond" w:hAnsi="Garamond"/>
                <w:i/>
                <w:color w:val="auto"/>
                <w:sz w:val="24"/>
                <w:szCs w:val="24"/>
                <w:lang w:val="pt-PT"/>
              </w:rPr>
              <w:t>a posteriori</w:t>
            </w:r>
            <w:proofErr w:type="gramEnd"/>
          </w:p>
          <w:p w:rsidR="00560CDA" w:rsidRPr="00B252E0" w:rsidRDefault="00560CDA" w:rsidP="005E4BCF">
            <w:pPr>
              <w:pStyle w:val="Title1"/>
              <w:tabs>
                <w:tab w:val="left" w:pos="1276"/>
                <w:tab w:val="left" w:pos="1560"/>
                <w:tab w:val="left" w:pos="2835"/>
                <w:tab w:val="left" w:pos="90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s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281.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º e 282.º da CRP)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O instrumento de </w:t>
            </w:r>
            <w:r w:rsidRPr="00B252E0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fiscalização sucessiva</w:t>
            </w: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, também chamado de «controlo em via principal», «em via de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acção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» ou «em via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directa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», «consiste num tipo de controlo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abstracto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de validade de normas exercido por uma via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directa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ou principal e que tem por finalidade essencial a eliminação do ordenamento quer de normas jurídicas já publicadas que sejam julgadas inconstitucionais ou ilegais, quer de efeitos que as mesmas hajam produzido no passado».</w:t>
            </w:r>
          </w:p>
          <w:p w:rsidR="00560CDA" w:rsidRPr="00B252E0" w:rsidRDefault="00560CDA" w:rsidP="005E4BCF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i/>
                <w:sz w:val="24"/>
                <w:szCs w:val="24"/>
              </w:rPr>
            </w:pPr>
            <w:r w:rsidRPr="00B252E0">
              <w:rPr>
                <w:rFonts w:ascii="Garamond" w:hAnsi="Garamond"/>
                <w:sz w:val="24"/>
                <w:szCs w:val="24"/>
              </w:rPr>
              <w:t xml:space="preserve">A partir desta noção é possível retirar dois </w:t>
            </w:r>
            <w:proofErr w:type="spellStart"/>
            <w:r w:rsidRPr="00B252E0">
              <w:rPr>
                <w:rFonts w:ascii="Garamond" w:hAnsi="Garamond"/>
                <w:sz w:val="24"/>
                <w:szCs w:val="24"/>
              </w:rPr>
              <w:t>aspectos</w:t>
            </w:r>
            <w:proofErr w:type="spellEnd"/>
            <w:r w:rsidRPr="00B252E0">
              <w:rPr>
                <w:rFonts w:ascii="Garamond" w:hAnsi="Garamond"/>
                <w:sz w:val="24"/>
                <w:szCs w:val="24"/>
              </w:rPr>
              <w:t xml:space="preserve"> principais: um ligado ao facto de se tratar de um </w:t>
            </w:r>
            <w:r w:rsidRPr="00B252E0">
              <w:rPr>
                <w:rFonts w:ascii="Garamond" w:hAnsi="Garamond"/>
                <w:i/>
                <w:sz w:val="24"/>
                <w:szCs w:val="24"/>
              </w:rPr>
              <w:t>processo de fiscalização exercido por via principal,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 e outro ter como efeito jurídico a </w:t>
            </w:r>
            <w:r w:rsidRPr="00B252E0">
              <w:rPr>
                <w:rFonts w:ascii="Garamond" w:hAnsi="Garamond"/>
                <w:i/>
                <w:sz w:val="24"/>
                <w:szCs w:val="24"/>
              </w:rPr>
              <w:t>eliminação da norma e dos seus efeitos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 do ordenamento jurídico.</w:t>
            </w:r>
          </w:p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O primeiro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aspecto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está ligado ao facto de se tratar de um processo que «existe quando, independentemente de um caso concreto</w:t>
            </w:r>
            <w:proofErr w:type="gram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,</w:t>
            </w:r>
            <w:proofErr w:type="gram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se averigua a conformidade de quaisquer normas com o parâmetro normativo-constitucional»; e, por outro lado, trata-se de um «controlo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abstracto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, não só porque o mesmo incide sobre um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normativo já introduzido no ordenamento […], mas também porque a referida norma é questionada nessa mesma qualidade, independentemente de ter, ou não, produzido qualquer efeito jurídico concreto». O segundo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aspecto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está ligado ao facto de que «o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objecto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principal do processo de fiscalização sucessiva consiste na eliminação da norma </w:t>
            </w:r>
            <w:proofErr w:type="spell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directamente</w:t>
            </w:r>
            <w:proofErr w:type="spell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impugnada, bem como na destruição dos efeitos decorrentes da sua aplicação, </w:t>
            </w:r>
            <w:proofErr w:type="gramStart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desde o momento em que</w:t>
            </w:r>
            <w:proofErr w:type="gramEnd"/>
            <w:r w:rsidRPr="00B252E0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o desvalor normativo se constituiu»</w:t>
            </w:r>
          </w:p>
        </w:tc>
      </w:tr>
      <w:tr w:rsidR="00560CDA" w:rsidTr="005E4BCF">
        <w:trPr>
          <w:trHeight w:val="655"/>
        </w:trPr>
        <w:tc>
          <w:tcPr>
            <w:tcW w:w="9214" w:type="dxa"/>
            <w:gridSpan w:val="2"/>
          </w:tcPr>
          <w:p w:rsidR="00560CDA" w:rsidRDefault="00560CDA" w:rsidP="005E4BCF">
            <w:pPr>
              <w:pStyle w:val="Title1"/>
              <w:keepNext/>
              <w:keepLines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</w:p>
          <w:p w:rsidR="00560CDA" w:rsidRDefault="00560CDA" w:rsidP="005E4BCF">
            <w:pPr>
              <w:pStyle w:val="Title1"/>
              <w:keepNext/>
              <w:keepLines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  <w:t>Tipo de fiscalização</w:t>
            </w:r>
          </w:p>
          <w:p w:rsidR="00560CDA" w:rsidRPr="00B252E0" w:rsidRDefault="00560CDA" w:rsidP="005E4BCF">
            <w:pPr>
              <w:pStyle w:val="Title1"/>
              <w:keepNext/>
              <w:keepLines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smallCaps/>
                <w:color w:val="auto"/>
                <w:sz w:val="24"/>
                <w:szCs w:val="24"/>
                <w:lang w:val="pt-PT"/>
              </w:rPr>
            </w:pPr>
          </w:p>
        </w:tc>
      </w:tr>
      <w:tr w:rsidR="00560CDA" w:rsidRPr="00183D64" w:rsidTr="005E4BCF">
        <w:trPr>
          <w:trHeight w:val="1466"/>
        </w:trPr>
        <w:tc>
          <w:tcPr>
            <w:tcW w:w="4322" w:type="dxa"/>
          </w:tcPr>
          <w:p w:rsidR="00560CDA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Fiscalização da constitucionalidade das normas</w:t>
            </w:r>
          </w:p>
          <w:p w:rsidR="00560CDA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arts</w:t>
            </w:r>
            <w:proofErr w:type="spellEnd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 277.º, 278.º, 279.º, 280.º, 281.º, 282.º)</w:t>
            </w:r>
          </w:p>
          <w:p w:rsidR="00560CDA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1F143F">
              <w:rPr>
                <w:rFonts w:ascii="Garamond" w:hAnsi="Garamond"/>
                <w:b w:val="0"/>
                <w:color w:val="auto"/>
                <w:sz w:val="24"/>
                <w:szCs w:val="24"/>
                <w:u w:val="single"/>
                <w:lang w:val="pt-PT"/>
              </w:rPr>
              <w:t>Conceito de norma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–</w:t>
            </w: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</w:t>
            </w:r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o Tribunal Constitucional parte de um conceito em que «qualquer </w:t>
            </w:r>
            <w:proofErr w:type="spellStart"/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acto</w:t>
            </w:r>
            <w:proofErr w:type="spellEnd"/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do poder público que contiver uma “regra de conduta” para os particulares ou para a Administração, um “critério de decisão” para esta última ou para o juiz ou, em geral, um padrão de “valoração de comportamento”», tratando-se de um conceito </w:t>
            </w:r>
            <w:r w:rsidRPr="003520AF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formal</w:t>
            </w:r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 </w:t>
            </w:r>
            <w:r w:rsidRPr="003520AF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funcional</w:t>
            </w:r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, «não abrangendo apenas os preceitos de natureza geral e </w:t>
            </w:r>
            <w:proofErr w:type="spellStart"/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abstracta</w:t>
            </w:r>
            <w:proofErr w:type="spellEnd"/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», mas «quaisquer normas jurídicas de eficácia externa, independentemente do seu carácter geral e </w:t>
            </w:r>
            <w:proofErr w:type="spellStart"/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abstracto</w:t>
            </w:r>
            <w:proofErr w:type="spellEnd"/>
            <w:r w:rsidRPr="003520AF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ou individual e concreto e, bem assim, de possuírem, neste último caso, eficácia consumptiva»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</w:t>
            </w:r>
          </w:p>
          <w:p w:rsidR="00560CDA" w:rsidRPr="00183D64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Aquilo que se controla são </w:t>
            </w:r>
            <w:r w:rsidRPr="009B02A4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normas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e não </w:t>
            </w:r>
            <w:r w:rsidRPr="009B02A4">
              <w:rPr>
                <w:rFonts w:ascii="Garamond" w:hAnsi="Garamond"/>
                <w:b w:val="0"/>
                <w:i/>
                <w:color w:val="auto"/>
                <w:sz w:val="24"/>
                <w:szCs w:val="24"/>
                <w:lang w:val="pt-PT"/>
              </w:rPr>
              <w:t>disposições</w:t>
            </w:r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.</w:t>
            </w:r>
          </w:p>
        </w:tc>
        <w:tc>
          <w:tcPr>
            <w:tcW w:w="4892" w:type="dxa"/>
          </w:tcPr>
          <w:p w:rsidR="00560CDA" w:rsidRDefault="00560CDA" w:rsidP="005E4BCF">
            <w:pPr>
              <w:pStyle w:val="Title1"/>
              <w:keepNext/>
              <w:keepLines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Fiscalização da legalidade das leis</w:t>
            </w:r>
          </w:p>
          <w:p w:rsidR="00560CDA" w:rsidRPr="00183D64" w:rsidRDefault="00560CDA" w:rsidP="005E4BCF">
            <w:pPr>
              <w:pStyle w:val="Title1"/>
              <w:keepNext/>
              <w:keepLines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en-US"/>
              </w:rPr>
            </w:pPr>
            <w:r w:rsidRPr="006E106B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6E106B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arts</w:t>
            </w:r>
            <w:proofErr w:type="spellEnd"/>
            <w:r w:rsidRPr="006E106B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. </w:t>
            </w:r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en-US"/>
              </w:rPr>
              <w:t>280</w:t>
            </w:r>
            <w:proofErr w:type="gramStart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en-US"/>
              </w:rPr>
              <w:t>.º</w:t>
            </w:r>
            <w:proofErr w:type="gramEnd"/>
            <w:r w:rsidRPr="00183D64">
              <w:rPr>
                <w:rFonts w:ascii="Garamond" w:hAnsi="Garamond"/>
                <w:b w:val="0"/>
                <w:color w:val="auto"/>
                <w:sz w:val="24"/>
                <w:szCs w:val="24"/>
                <w:lang w:val="en-US"/>
              </w:rPr>
              <w:t>, 281.º, 282.º)</w:t>
            </w:r>
          </w:p>
          <w:p w:rsidR="00560CDA" w:rsidRPr="00183D64" w:rsidRDefault="00560CDA" w:rsidP="005E4BCF">
            <w:pPr>
              <w:pStyle w:val="Title1"/>
              <w:keepNext/>
              <w:keepLines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en-US"/>
              </w:rPr>
            </w:pPr>
          </w:p>
        </w:tc>
      </w:tr>
      <w:tr w:rsidR="00560CDA" w:rsidTr="005E4BCF">
        <w:trPr>
          <w:trHeight w:val="598"/>
        </w:trPr>
        <w:tc>
          <w:tcPr>
            <w:tcW w:w="9214" w:type="dxa"/>
            <w:gridSpan w:val="2"/>
          </w:tcPr>
          <w:p w:rsidR="00560CDA" w:rsidRDefault="00560CDA" w:rsidP="005E4B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p w:rsidR="00560CDA" w:rsidRDefault="00560CDA" w:rsidP="005E4B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C71BB2">
              <w:rPr>
                <w:rFonts w:ascii="Garamond" w:hAnsi="Garamond"/>
                <w:b/>
                <w:smallCaps/>
                <w:sz w:val="24"/>
                <w:szCs w:val="24"/>
              </w:rPr>
              <w:t>Efeitos</w:t>
            </w:r>
            <w:r>
              <w:rPr>
                <w:rFonts w:ascii="Garamond" w:hAnsi="Garamond"/>
                <w:b/>
                <w:smallCaps/>
                <w:sz w:val="24"/>
                <w:szCs w:val="24"/>
              </w:rPr>
              <w:t xml:space="preserve"> da declaração de inconstitucionalidade</w:t>
            </w:r>
          </w:p>
          <w:p w:rsidR="00560CDA" w:rsidRPr="00C71BB2" w:rsidRDefault="00560CDA" w:rsidP="005E4B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</w:tc>
      </w:tr>
      <w:tr w:rsidR="00560CDA" w:rsidTr="005E4BCF">
        <w:trPr>
          <w:trHeight w:val="1466"/>
        </w:trPr>
        <w:tc>
          <w:tcPr>
            <w:tcW w:w="4322" w:type="dxa"/>
          </w:tcPr>
          <w:p w:rsidR="00560CDA" w:rsidRPr="009B02A4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 w:rsidRPr="009B02A4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t>Efeitos na fiscalização preventiva</w:t>
            </w:r>
          </w:p>
          <w:p w:rsidR="00560CDA" w:rsidRPr="009B02A4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r w:rsidRPr="009B02A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(</w:t>
            </w:r>
            <w:proofErr w:type="spellStart"/>
            <w:r w:rsidRPr="009B02A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r w:rsidRPr="009B02A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. 279.º </w:t>
            </w:r>
            <w:proofErr w:type="gramStart"/>
            <w:r w:rsidRPr="009B02A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da</w:t>
            </w:r>
            <w:proofErr w:type="gramEnd"/>
            <w:r w:rsidRPr="009B02A4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 CRP)</w:t>
            </w:r>
          </w:p>
          <w:p w:rsidR="00560CDA" w:rsidRPr="009B02A4" w:rsidRDefault="00560CDA" w:rsidP="005E4BCF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Fonts w:ascii="Garamond" w:hAnsi="Garamond" w:cs="Tahoma"/>
              </w:rPr>
            </w:pPr>
            <w:r w:rsidRPr="009B02A4">
              <w:rPr>
                <w:rFonts w:ascii="Garamond" w:hAnsi="Garamond" w:cs="Tahoma"/>
              </w:rPr>
              <w:t xml:space="preserve">1. Se o Tribunal Constitucional se pronunciar pela inconstitucionalidade de norma constante de qualquer decreto ou acordo internacional, </w:t>
            </w:r>
            <w:r w:rsidRPr="009B02A4">
              <w:rPr>
                <w:rFonts w:ascii="Garamond" w:hAnsi="Garamond" w:cs="Tahoma"/>
                <w:u w:val="single"/>
              </w:rPr>
              <w:t>deverá o diploma ser vetado pelo Presidente da República ou pelo Representante da República, conforme os casos, e devolvido ao órgão que o tiver aprovado</w:t>
            </w:r>
            <w:r w:rsidRPr="009B02A4">
              <w:rPr>
                <w:rFonts w:ascii="Garamond" w:hAnsi="Garamond" w:cs="Tahoma"/>
              </w:rPr>
              <w:t>.</w:t>
            </w:r>
          </w:p>
          <w:p w:rsidR="00560CDA" w:rsidRPr="009B02A4" w:rsidRDefault="00560CDA" w:rsidP="005E4BCF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Fonts w:ascii="Garamond" w:hAnsi="Garamond" w:cs="Tahoma"/>
              </w:rPr>
            </w:pPr>
            <w:r w:rsidRPr="009B02A4">
              <w:rPr>
                <w:rFonts w:ascii="Garamond" w:hAnsi="Garamond" w:cs="Tahoma"/>
              </w:rPr>
              <w:t xml:space="preserve">2. No caso previsto no n.º 1, </w:t>
            </w:r>
            <w:r w:rsidRPr="009B02A4">
              <w:rPr>
                <w:rFonts w:ascii="Garamond" w:hAnsi="Garamond" w:cs="Tahoma"/>
                <w:u w:val="single"/>
              </w:rPr>
              <w:t xml:space="preserve">o decreto não poderá ser promulgado ou assinado sem que o órgão que o tiver aprovado expurgue a norma julgada inconstitucional ou, quando for caso disso, o confirme por maioria de dois terços dos Deputados presentes, desde que superior à maioria absoluta dos Deputados em </w:t>
            </w:r>
            <w:proofErr w:type="spellStart"/>
            <w:r w:rsidRPr="009B02A4">
              <w:rPr>
                <w:rFonts w:ascii="Garamond" w:hAnsi="Garamond" w:cs="Tahoma"/>
                <w:u w:val="single"/>
              </w:rPr>
              <w:t>efectividade</w:t>
            </w:r>
            <w:proofErr w:type="spellEnd"/>
            <w:r w:rsidRPr="009B02A4">
              <w:rPr>
                <w:rFonts w:ascii="Garamond" w:hAnsi="Garamond" w:cs="Tahoma"/>
                <w:u w:val="single"/>
              </w:rPr>
              <w:t xml:space="preserve"> de funções</w:t>
            </w:r>
            <w:r w:rsidRPr="009B02A4">
              <w:rPr>
                <w:rFonts w:ascii="Garamond" w:hAnsi="Garamond" w:cs="Tahoma"/>
              </w:rPr>
              <w:t>.</w:t>
            </w:r>
          </w:p>
          <w:p w:rsidR="00560CDA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 w:cs="Tahoma"/>
                <w:b w:val="0"/>
                <w:color w:val="auto"/>
                <w:sz w:val="24"/>
                <w:szCs w:val="24"/>
                <w:lang w:val="pt-PT"/>
              </w:rPr>
            </w:pPr>
            <w:r w:rsidRPr="009B02A4">
              <w:rPr>
                <w:rFonts w:ascii="Garamond" w:hAnsi="Garamond" w:cs="Tahoma"/>
                <w:b w:val="0"/>
                <w:color w:val="auto"/>
                <w:sz w:val="24"/>
                <w:szCs w:val="24"/>
                <w:lang w:val="pt-PT"/>
              </w:rPr>
              <w:t xml:space="preserve">4. Se o Tribunal Constitucional se </w:t>
            </w:r>
            <w:r w:rsidRPr="009B02A4">
              <w:rPr>
                <w:rFonts w:ascii="Garamond" w:hAnsi="Garamond" w:cs="Tahoma"/>
                <w:b w:val="0"/>
                <w:color w:val="auto"/>
                <w:sz w:val="24"/>
                <w:szCs w:val="24"/>
                <w:lang w:val="pt-PT"/>
              </w:rPr>
              <w:lastRenderedPageBreak/>
              <w:t xml:space="preserve">pronunciar pela inconstitucionalidade de norma constante de tratado, </w:t>
            </w:r>
            <w:r w:rsidRPr="009B02A4">
              <w:rPr>
                <w:rFonts w:ascii="Garamond" w:hAnsi="Garamond" w:cs="Tahoma"/>
                <w:b w:val="0"/>
                <w:color w:val="auto"/>
                <w:sz w:val="24"/>
                <w:szCs w:val="24"/>
                <w:u w:val="single"/>
                <w:lang w:val="pt-PT"/>
              </w:rPr>
              <w:t xml:space="preserve">este só poderá ser ratificado se a Assembleia da República o vier a aprovar por maioria de dois terços dos Deputados presentes, desde que superior à maioria absoluta dos Deputados em </w:t>
            </w:r>
            <w:proofErr w:type="spellStart"/>
            <w:r w:rsidRPr="009B02A4">
              <w:rPr>
                <w:rFonts w:ascii="Garamond" w:hAnsi="Garamond" w:cs="Tahoma"/>
                <w:b w:val="0"/>
                <w:color w:val="auto"/>
                <w:sz w:val="24"/>
                <w:szCs w:val="24"/>
                <w:u w:val="single"/>
                <w:lang w:val="pt-PT"/>
              </w:rPr>
              <w:t>efectividade</w:t>
            </w:r>
            <w:proofErr w:type="spellEnd"/>
            <w:r w:rsidRPr="009B02A4">
              <w:rPr>
                <w:rFonts w:ascii="Garamond" w:hAnsi="Garamond" w:cs="Tahoma"/>
                <w:b w:val="0"/>
                <w:color w:val="auto"/>
                <w:sz w:val="24"/>
                <w:szCs w:val="24"/>
                <w:u w:val="single"/>
                <w:lang w:val="pt-PT"/>
              </w:rPr>
              <w:t xml:space="preserve"> de funções</w:t>
            </w:r>
            <w:r w:rsidRPr="009B02A4">
              <w:rPr>
                <w:rFonts w:ascii="Garamond" w:hAnsi="Garamond" w:cs="Tahoma"/>
                <w:b w:val="0"/>
                <w:color w:val="auto"/>
                <w:sz w:val="24"/>
                <w:szCs w:val="24"/>
                <w:lang w:val="pt-PT"/>
              </w:rPr>
              <w:t>.</w:t>
            </w:r>
          </w:p>
          <w:p w:rsidR="00560CDA" w:rsidRPr="009B02A4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4892" w:type="dxa"/>
          </w:tcPr>
          <w:p w:rsidR="00560CDA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lastRenderedPageBreak/>
              <w:t>Efeitos na fiscalização sucessiva</w:t>
            </w:r>
          </w:p>
          <w:p w:rsidR="00560CDA" w:rsidRDefault="00560CDA" w:rsidP="005E4BCF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rFonts w:ascii="Garamond" w:hAnsi="Garamond"/>
              </w:rPr>
            </w:pPr>
            <w:r w:rsidRPr="00C71BB2">
              <w:rPr>
                <w:rFonts w:ascii="Garamond" w:hAnsi="Garamond"/>
              </w:rPr>
              <w:t>(</w:t>
            </w:r>
            <w:proofErr w:type="spellStart"/>
            <w:r w:rsidRPr="00C71BB2">
              <w:rPr>
                <w:rFonts w:ascii="Garamond" w:hAnsi="Garamond"/>
              </w:rPr>
              <w:t>art</w:t>
            </w:r>
            <w:proofErr w:type="spellEnd"/>
            <w:r w:rsidRPr="00C71BB2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282</w:t>
            </w:r>
            <w:r w:rsidRPr="00C71BB2">
              <w:rPr>
                <w:rFonts w:ascii="Garamond" w:hAnsi="Garamond"/>
              </w:rPr>
              <w:t xml:space="preserve">.º </w:t>
            </w:r>
            <w:proofErr w:type="gramStart"/>
            <w:r w:rsidRPr="00C71BB2">
              <w:rPr>
                <w:rFonts w:ascii="Garamond" w:hAnsi="Garamond"/>
              </w:rPr>
              <w:t>da</w:t>
            </w:r>
            <w:proofErr w:type="gramEnd"/>
            <w:r w:rsidRPr="00C71BB2">
              <w:rPr>
                <w:rFonts w:ascii="Garamond" w:hAnsi="Garamond"/>
              </w:rPr>
              <w:t xml:space="preserve"> CRP)</w:t>
            </w:r>
          </w:p>
          <w:p w:rsidR="00560CDA" w:rsidRPr="00C71BB2" w:rsidRDefault="00560CDA" w:rsidP="005E4BCF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Fonts w:ascii="Garamond" w:hAnsi="Garamond" w:cs="Tahoma"/>
              </w:rPr>
            </w:pPr>
            <w:r w:rsidRPr="00C71BB2">
              <w:rPr>
                <w:rFonts w:ascii="Garamond" w:hAnsi="Garamond" w:cs="Tahoma"/>
              </w:rPr>
              <w:t xml:space="preserve">1. A declaração de inconstitucionalidade ou de ilegalidade com </w:t>
            </w:r>
            <w:r w:rsidRPr="00C71BB2">
              <w:rPr>
                <w:rFonts w:ascii="Garamond" w:hAnsi="Garamond" w:cs="Tahoma"/>
                <w:i/>
              </w:rPr>
              <w:t>força obrigatória geral</w:t>
            </w:r>
            <w:r w:rsidRPr="00C71BB2">
              <w:rPr>
                <w:rFonts w:ascii="Garamond" w:hAnsi="Garamond" w:cs="Tahoma"/>
              </w:rPr>
              <w:t xml:space="preserve"> </w:t>
            </w:r>
            <w:r w:rsidRPr="00C71BB2">
              <w:rPr>
                <w:rFonts w:ascii="Garamond" w:hAnsi="Garamond" w:cs="Tahoma"/>
                <w:u w:val="single"/>
              </w:rPr>
              <w:t>produz efeitos desde a entrada em vigor da norma declarada inconstitucional ou ilegal e determina a repristinação das normas que ela, eventualmente, haja revogado</w:t>
            </w:r>
            <w:r w:rsidRPr="00C71BB2">
              <w:rPr>
                <w:rFonts w:ascii="Garamond" w:hAnsi="Garamond" w:cs="Tahoma"/>
              </w:rPr>
              <w:t>.</w:t>
            </w:r>
          </w:p>
          <w:p w:rsidR="00560CDA" w:rsidRPr="00C71BB2" w:rsidRDefault="00560CDA" w:rsidP="005E4BCF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2. </w:t>
            </w:r>
            <w:r w:rsidRPr="00C71BB2">
              <w:rPr>
                <w:rFonts w:ascii="Garamond" w:hAnsi="Garamond" w:cs="Tahoma"/>
              </w:rPr>
              <w:t xml:space="preserve">Tratando-se, porém, de inconstitucionalidade ou de ilegalidade por </w:t>
            </w:r>
            <w:proofErr w:type="spellStart"/>
            <w:r w:rsidRPr="00C71BB2">
              <w:rPr>
                <w:rFonts w:ascii="Garamond" w:hAnsi="Garamond" w:cs="Tahoma"/>
              </w:rPr>
              <w:t>infracção</w:t>
            </w:r>
            <w:proofErr w:type="spellEnd"/>
            <w:r w:rsidRPr="00C71BB2">
              <w:rPr>
                <w:rFonts w:ascii="Garamond" w:hAnsi="Garamond" w:cs="Tahoma"/>
              </w:rPr>
              <w:t xml:space="preserve"> de norma constitucional ou legal posterior, </w:t>
            </w:r>
            <w:r w:rsidRPr="00C71BB2">
              <w:rPr>
                <w:rFonts w:ascii="Garamond" w:hAnsi="Garamond" w:cs="Tahoma"/>
                <w:u w:val="single"/>
              </w:rPr>
              <w:t>a declaração só produz efeitos desde a entrada em vigor desta última</w:t>
            </w:r>
            <w:r w:rsidRPr="00C71BB2">
              <w:rPr>
                <w:rFonts w:ascii="Garamond" w:hAnsi="Garamond" w:cs="Tahoma"/>
              </w:rPr>
              <w:t>.</w:t>
            </w:r>
          </w:p>
          <w:p w:rsidR="00560CDA" w:rsidRDefault="00560CDA" w:rsidP="005E4BCF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Fonts w:ascii="Garamond" w:hAnsi="Garamond" w:cs="Tahoma"/>
              </w:rPr>
            </w:pPr>
            <w:r w:rsidRPr="00C71BB2">
              <w:rPr>
                <w:rFonts w:ascii="Garamond" w:hAnsi="Garamond" w:cs="Tahoma"/>
              </w:rPr>
              <w:t xml:space="preserve">3. </w:t>
            </w:r>
            <w:r w:rsidRPr="00C71BB2">
              <w:rPr>
                <w:rFonts w:ascii="Garamond" w:hAnsi="Garamond" w:cs="Tahoma"/>
                <w:u w:val="single"/>
              </w:rPr>
              <w:t>Ficam ressalvados os casos julgados, salvo decisão em contrário do Tribunal Constitucional quando a norma respeitar a matéria penal, disciplinar ou de ilícito de mera ordenação social e for de conteúdo menos favorável ao arguido</w:t>
            </w:r>
            <w:r w:rsidRPr="00C71BB2">
              <w:rPr>
                <w:rFonts w:ascii="Garamond" w:hAnsi="Garamond" w:cs="Tahoma"/>
              </w:rPr>
              <w:t>.</w:t>
            </w:r>
          </w:p>
          <w:p w:rsidR="00560CDA" w:rsidRPr="00C71BB2" w:rsidRDefault="00560CDA" w:rsidP="005E4BCF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Fonts w:ascii="Garamond" w:hAnsi="Garamond" w:cs="Tahoma"/>
              </w:rPr>
            </w:pPr>
          </w:p>
        </w:tc>
      </w:tr>
      <w:tr w:rsidR="00560CDA" w:rsidTr="005E4BCF">
        <w:trPr>
          <w:trHeight w:val="875"/>
        </w:trPr>
        <w:tc>
          <w:tcPr>
            <w:tcW w:w="4322" w:type="dxa"/>
            <w:vMerge w:val="restart"/>
          </w:tcPr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  <w:r w:rsidRPr="00B252E0">
              <w:rPr>
                <w:rFonts w:ascii="Garamond" w:hAnsi="Garamond"/>
                <w:color w:val="auto"/>
                <w:sz w:val="24"/>
                <w:szCs w:val="24"/>
                <w:lang w:val="pt-PT"/>
              </w:rPr>
              <w:lastRenderedPageBreak/>
              <w:t>Manipulação dos efeitos da inconstitucionalidade pelo TC</w:t>
            </w:r>
          </w:p>
          <w:p w:rsidR="00560CDA" w:rsidRPr="00C71BB2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jc w:val="center"/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</w:pPr>
            <w:proofErr w:type="spellStart"/>
            <w:proofErr w:type="gramStart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art</w:t>
            </w:r>
            <w:proofErr w:type="spellEnd"/>
            <w:proofErr w:type="gramEnd"/>
            <w:r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 xml:space="preserve">. </w:t>
            </w:r>
            <w:r w:rsidRPr="00C71BB2">
              <w:rPr>
                <w:rFonts w:ascii="Garamond" w:hAnsi="Garamond"/>
                <w:b w:val="0"/>
                <w:color w:val="auto"/>
                <w:sz w:val="24"/>
                <w:szCs w:val="24"/>
                <w:lang w:val="pt-PT"/>
              </w:rPr>
              <w:t>281.º, n.º 4, CRP</w:t>
            </w:r>
          </w:p>
        </w:tc>
        <w:tc>
          <w:tcPr>
            <w:tcW w:w="4892" w:type="dxa"/>
          </w:tcPr>
          <w:p w:rsidR="00560CDA" w:rsidRPr="009B02A4" w:rsidRDefault="00560CDA" w:rsidP="005E4BCF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smallCaps/>
                <w:sz w:val="24"/>
                <w:szCs w:val="24"/>
              </w:rPr>
            </w:pPr>
            <w:r w:rsidRPr="009B02A4">
              <w:rPr>
                <w:rFonts w:ascii="Garamond" w:hAnsi="Garamond"/>
                <w:i/>
                <w:smallCaps/>
                <w:sz w:val="24"/>
                <w:szCs w:val="24"/>
              </w:rPr>
              <w:t>Manipulação de efeitos</w:t>
            </w:r>
            <w:r w:rsidRPr="009B02A4">
              <w:rPr>
                <w:rFonts w:ascii="Garamond" w:hAnsi="Garamond"/>
                <w:smallCaps/>
                <w:sz w:val="24"/>
                <w:szCs w:val="24"/>
              </w:rPr>
              <w:t xml:space="preserve"> num sentido lato: </w:t>
            </w:r>
          </w:p>
          <w:p w:rsidR="00560CDA" w:rsidRPr="00B252E0" w:rsidRDefault="00560CDA" w:rsidP="005E4BCF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560CDA" w:rsidTr="005E4BCF">
        <w:trPr>
          <w:trHeight w:val="1101"/>
        </w:trPr>
        <w:tc>
          <w:tcPr>
            <w:tcW w:w="4322" w:type="dxa"/>
            <w:vMerge/>
          </w:tcPr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4892" w:type="dxa"/>
          </w:tcPr>
          <w:p w:rsidR="00560CDA" w:rsidRPr="00B252E0" w:rsidRDefault="00560CDA" w:rsidP="005E4BCF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(i)</w:t>
            </w:r>
            <w:r w:rsidRPr="00B252E0">
              <w:rPr>
                <w:rFonts w:ascii="Garamond" w:hAnsi="Garamond"/>
                <w:b/>
                <w:sz w:val="24"/>
                <w:szCs w:val="24"/>
              </w:rPr>
              <w:t xml:space="preserve"> interpretação conforme à Constituição (sentenças </w:t>
            </w: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interpretativas</w:t>
            </w:r>
            <w:r w:rsidRPr="00B252E0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</w:tr>
      <w:tr w:rsidR="00560CDA" w:rsidTr="005E4BCF">
        <w:trPr>
          <w:trHeight w:val="1117"/>
        </w:trPr>
        <w:tc>
          <w:tcPr>
            <w:tcW w:w="4322" w:type="dxa"/>
            <w:vMerge/>
          </w:tcPr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4892" w:type="dxa"/>
          </w:tcPr>
          <w:p w:rsidR="00560CDA" w:rsidRPr="00B252E0" w:rsidRDefault="00560CDA" w:rsidP="005E4BCF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(</w:t>
            </w:r>
            <w:proofErr w:type="spellStart"/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ii</w:t>
            </w:r>
            <w:proofErr w:type="spellEnd"/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B252E0">
              <w:rPr>
                <w:rFonts w:ascii="Garamond" w:hAnsi="Garamond"/>
                <w:b/>
                <w:sz w:val="24"/>
                <w:szCs w:val="24"/>
              </w:rPr>
              <w:t xml:space="preserve"> redução da lei inconstitucional (sentenças </w:t>
            </w: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redutivas</w:t>
            </w:r>
            <w:r w:rsidRPr="00B252E0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</w:tr>
      <w:tr w:rsidR="00560CDA" w:rsidTr="005E4BCF">
        <w:trPr>
          <w:trHeight w:val="1466"/>
        </w:trPr>
        <w:tc>
          <w:tcPr>
            <w:tcW w:w="4322" w:type="dxa"/>
            <w:vMerge/>
          </w:tcPr>
          <w:p w:rsidR="00560CDA" w:rsidRPr="00B252E0" w:rsidRDefault="00560CDA" w:rsidP="005E4BCF">
            <w:pPr>
              <w:pStyle w:val="Title1"/>
              <w:tabs>
                <w:tab w:val="left" w:pos="1418"/>
                <w:tab w:val="left" w:pos="2835"/>
                <w:tab w:val="left" w:pos="9072"/>
              </w:tabs>
              <w:spacing w:after="0"/>
              <w:rPr>
                <w:rFonts w:ascii="Garamond" w:hAnsi="Garamond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4892" w:type="dxa"/>
          </w:tcPr>
          <w:p w:rsidR="00560CDA" w:rsidRPr="00B252E0" w:rsidRDefault="00560CDA" w:rsidP="005E4BCF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(</w:t>
            </w:r>
            <w:proofErr w:type="spellStart"/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iii</w:t>
            </w:r>
            <w:proofErr w:type="spellEnd"/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B252E0">
              <w:rPr>
                <w:rFonts w:ascii="Garamond" w:hAnsi="Garamond"/>
                <w:b/>
                <w:sz w:val="24"/>
                <w:szCs w:val="24"/>
              </w:rPr>
              <w:t xml:space="preserve"> modificação da lei inconstitucional (sentenças </w:t>
            </w: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manipulativas em sentido estrito</w:t>
            </w:r>
            <w:r w:rsidRPr="00B252E0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  <w:p w:rsidR="00560CDA" w:rsidRPr="00B252E0" w:rsidRDefault="00560CDA" w:rsidP="005E4BCF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i/>
                <w:sz w:val="24"/>
                <w:szCs w:val="24"/>
              </w:rPr>
            </w:pPr>
          </w:p>
          <w:p w:rsidR="00560CDA" w:rsidRPr="00B252E0" w:rsidRDefault="00560CDA" w:rsidP="005E4BCF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sz w:val="24"/>
                <w:szCs w:val="24"/>
              </w:rPr>
            </w:pPr>
            <w:r w:rsidRPr="00B252E0">
              <w:rPr>
                <w:rFonts w:ascii="Garamond" w:hAnsi="Garamond"/>
                <w:i/>
                <w:sz w:val="24"/>
                <w:szCs w:val="24"/>
              </w:rPr>
              <w:t>(a)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 </w:t>
            </w:r>
            <w:bookmarkStart w:id="0" w:name="OLE_LINK988"/>
            <w:proofErr w:type="gramStart"/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sentenças</w:t>
            </w:r>
            <w:proofErr w:type="gramEnd"/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 xml:space="preserve"> com efeitos limitativos em sentido</w:t>
            </w:r>
            <w:r w:rsidRPr="00B252E0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estrito</w:t>
            </w:r>
            <w:bookmarkEnd w:id="0"/>
            <w:r w:rsidRPr="00B252E0">
              <w:rPr>
                <w:rFonts w:ascii="Garamond" w:hAnsi="Garamond"/>
                <w:sz w:val="24"/>
                <w:szCs w:val="24"/>
              </w:rPr>
              <w:t>, em que há uma limitação dos efeitos normais que a sentença de inconstitucionalidade deveria conter (</w:t>
            </w:r>
            <w:r w:rsidRPr="00B252E0">
              <w:rPr>
                <w:rFonts w:ascii="Garamond" w:hAnsi="Garamond"/>
                <w:i/>
                <w:sz w:val="24"/>
                <w:szCs w:val="24"/>
              </w:rPr>
              <w:t xml:space="preserve">simples declaração da incompatibilidade 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[ou </w:t>
            </w:r>
            <w:r w:rsidRPr="00B252E0">
              <w:rPr>
                <w:rFonts w:ascii="Garamond" w:hAnsi="Garamond"/>
                <w:i/>
                <w:sz w:val="24"/>
                <w:szCs w:val="24"/>
              </w:rPr>
              <w:t xml:space="preserve">declaração de </w:t>
            </w:r>
            <w:proofErr w:type="spellStart"/>
            <w:r w:rsidRPr="00B252E0">
              <w:rPr>
                <w:rFonts w:ascii="Garamond" w:hAnsi="Garamond"/>
                <w:i/>
                <w:sz w:val="24"/>
                <w:szCs w:val="24"/>
              </w:rPr>
              <w:t>inconstitucionaliade</w:t>
            </w:r>
            <w:proofErr w:type="spellEnd"/>
            <w:r w:rsidRPr="00B252E0">
              <w:rPr>
                <w:rFonts w:ascii="Garamond" w:hAnsi="Garamond"/>
                <w:i/>
                <w:sz w:val="24"/>
                <w:szCs w:val="24"/>
              </w:rPr>
              <w:t xml:space="preserve"> sem a pronúncia de nulidade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); </w:t>
            </w:r>
          </w:p>
          <w:p w:rsidR="00560CDA" w:rsidRPr="00B252E0" w:rsidRDefault="00560CDA" w:rsidP="005E4BCF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sz w:val="24"/>
                <w:szCs w:val="24"/>
              </w:rPr>
            </w:pPr>
            <w:r w:rsidRPr="00B252E0">
              <w:rPr>
                <w:rFonts w:ascii="Garamond" w:hAnsi="Garamond"/>
                <w:i/>
                <w:sz w:val="24"/>
                <w:szCs w:val="24"/>
              </w:rPr>
              <w:t>(b)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sentenças de efeito apelativo</w:t>
            </w:r>
            <w:r w:rsidRPr="00B252E0">
              <w:rPr>
                <w:rFonts w:ascii="Garamond" w:hAnsi="Garamond"/>
                <w:i/>
                <w:sz w:val="24"/>
                <w:szCs w:val="24"/>
              </w:rPr>
              <w:t xml:space="preserve">, 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em que se apela aos poderes públicos para alterarem ou suprimirem as normas que se encontram em trânsito para a inconstitucionalidade; </w:t>
            </w:r>
          </w:p>
          <w:p w:rsidR="00560CDA" w:rsidRPr="00B252E0" w:rsidRDefault="00560CDA" w:rsidP="005E4BCF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sz w:val="24"/>
                <w:szCs w:val="24"/>
              </w:rPr>
            </w:pPr>
            <w:r w:rsidRPr="00B252E0">
              <w:rPr>
                <w:rFonts w:ascii="Garamond" w:hAnsi="Garamond"/>
                <w:i/>
                <w:sz w:val="24"/>
                <w:szCs w:val="24"/>
              </w:rPr>
              <w:t>(c)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 </w:t>
            </w:r>
            <w:bookmarkStart w:id="1" w:name="OLE_LINK1052"/>
            <w:bookmarkStart w:id="2" w:name="OLE_LINK1051"/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sentenças com efeitos temporais limitativos</w:t>
            </w:r>
            <w:r w:rsidRPr="00B252E0">
              <w:rPr>
                <w:rFonts w:ascii="Garamond" w:hAnsi="Garamond"/>
                <w:sz w:val="24"/>
                <w:szCs w:val="24"/>
              </w:rPr>
              <w:t>,</w:t>
            </w:r>
            <w:bookmarkEnd w:id="1"/>
            <w:bookmarkEnd w:id="2"/>
            <w:r w:rsidRPr="00B252E0">
              <w:rPr>
                <w:rFonts w:ascii="Garamond" w:hAnsi="Garamond"/>
                <w:sz w:val="24"/>
                <w:szCs w:val="24"/>
              </w:rPr>
              <w:t xml:space="preserve"> em que se restringem os efeitos sancionatórios da declaração de inconstitucionalidade; </w:t>
            </w:r>
          </w:p>
          <w:p w:rsidR="00560CDA" w:rsidRPr="00B252E0" w:rsidRDefault="00560CDA" w:rsidP="005E4BCF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sz w:val="24"/>
                <w:szCs w:val="24"/>
              </w:rPr>
            </w:pPr>
            <w:r w:rsidRPr="00B252E0">
              <w:rPr>
                <w:rFonts w:ascii="Garamond" w:hAnsi="Garamond"/>
                <w:i/>
                <w:sz w:val="24"/>
                <w:szCs w:val="24"/>
              </w:rPr>
              <w:t>(d)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sentenças interpretativas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, que já vimos </w:t>
            </w:r>
            <w:proofErr w:type="spellStart"/>
            <w:r w:rsidRPr="00B252E0">
              <w:rPr>
                <w:rFonts w:ascii="Garamond" w:hAnsi="Garamond"/>
                <w:sz w:val="24"/>
                <w:szCs w:val="24"/>
              </w:rPr>
              <w:t>autonomizadamente</w:t>
            </w:r>
            <w:proofErr w:type="spellEnd"/>
            <w:r w:rsidRPr="00B252E0">
              <w:rPr>
                <w:rFonts w:ascii="Garamond" w:hAnsi="Garamond"/>
                <w:sz w:val="24"/>
                <w:szCs w:val="24"/>
              </w:rPr>
              <w:t xml:space="preserve">; </w:t>
            </w:r>
            <w:proofErr w:type="gramStart"/>
            <w:r w:rsidRPr="00B252E0">
              <w:rPr>
                <w:rFonts w:ascii="Garamond" w:hAnsi="Garamond"/>
                <w:sz w:val="24"/>
                <w:szCs w:val="24"/>
              </w:rPr>
              <w:t>e</w:t>
            </w:r>
            <w:proofErr w:type="gramEnd"/>
            <w:r w:rsidRPr="00B252E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560CDA" w:rsidRPr="00B252E0" w:rsidRDefault="00560CDA" w:rsidP="005E4BCF">
            <w:pPr>
              <w:autoSpaceDE w:val="0"/>
              <w:autoSpaceDN w:val="0"/>
              <w:adjustRightInd w:val="0"/>
              <w:spacing w:line="300" w:lineRule="atLeast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B252E0">
              <w:rPr>
                <w:rFonts w:ascii="Garamond" w:hAnsi="Garamond"/>
                <w:i/>
                <w:sz w:val="24"/>
                <w:szCs w:val="24"/>
              </w:rPr>
              <w:t xml:space="preserve">(e) </w:t>
            </w:r>
            <w:r w:rsidRPr="00B252E0">
              <w:rPr>
                <w:rFonts w:ascii="Garamond" w:hAnsi="Garamond"/>
                <w:b/>
                <w:i/>
                <w:sz w:val="24"/>
                <w:szCs w:val="24"/>
              </w:rPr>
              <w:t>sentenças com efeitos aditivos</w:t>
            </w:r>
            <w:r w:rsidRPr="00B252E0">
              <w:rPr>
                <w:rFonts w:ascii="Garamond" w:hAnsi="Garamond"/>
                <w:i/>
                <w:sz w:val="24"/>
                <w:szCs w:val="24"/>
              </w:rPr>
              <w:t xml:space="preserve">, </w:t>
            </w:r>
            <w:r w:rsidRPr="00B252E0">
              <w:rPr>
                <w:rFonts w:ascii="Garamond" w:hAnsi="Garamond"/>
                <w:sz w:val="24"/>
                <w:szCs w:val="24"/>
              </w:rPr>
              <w:t xml:space="preserve">que consistem em «decisões positivas de inconstitucionalidade de cujo conteúdo resulte, tanto um juízo de invalidade, como a indicação de uma norma ou de um princípio normativo, que assegurem a criação de condições para que o direito que conformou o </w:t>
            </w:r>
            <w:proofErr w:type="spellStart"/>
            <w:r w:rsidRPr="00B252E0">
              <w:rPr>
                <w:rFonts w:ascii="Garamond" w:hAnsi="Garamond"/>
                <w:sz w:val="24"/>
                <w:szCs w:val="24"/>
              </w:rPr>
              <w:t>objecto</w:t>
            </w:r>
            <w:proofErr w:type="spellEnd"/>
            <w:r w:rsidRPr="00B252E0">
              <w:rPr>
                <w:rFonts w:ascii="Garamond" w:hAnsi="Garamond"/>
                <w:sz w:val="24"/>
                <w:szCs w:val="24"/>
              </w:rPr>
              <w:t xml:space="preserve"> da mesma sentença se compatibilize futuramente com a Constituição»</w:t>
            </w:r>
          </w:p>
        </w:tc>
      </w:tr>
    </w:tbl>
    <w:p w:rsidR="00252F74" w:rsidRPr="00560CDA" w:rsidRDefault="00252F74" w:rsidP="00560CDA"/>
    <w:sectPr w:rsidR="00252F74" w:rsidRPr="00560CDA" w:rsidSect="00560C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2E" w:rsidRDefault="0078712E" w:rsidP="0078712E">
      <w:pPr>
        <w:spacing w:after="0" w:line="240" w:lineRule="auto"/>
      </w:pPr>
      <w:r>
        <w:separator/>
      </w:r>
    </w:p>
  </w:endnote>
  <w:endnote w:type="continuationSeparator" w:id="0">
    <w:p w:rsidR="0078712E" w:rsidRDefault="0078712E" w:rsidP="0078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HYMyeongJo-Extra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2E" w:rsidRDefault="007871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2E" w:rsidRDefault="007871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2E" w:rsidRDefault="007871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2E" w:rsidRDefault="0078712E" w:rsidP="0078712E">
      <w:pPr>
        <w:spacing w:after="0" w:line="240" w:lineRule="auto"/>
      </w:pPr>
      <w:r>
        <w:separator/>
      </w:r>
    </w:p>
  </w:footnote>
  <w:footnote w:type="continuationSeparator" w:id="0">
    <w:p w:rsidR="0078712E" w:rsidRDefault="0078712E" w:rsidP="0078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2E" w:rsidRDefault="007871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2E" w:rsidRDefault="007871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2E" w:rsidRDefault="007871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F74"/>
    <w:rsid w:val="000B59C4"/>
    <w:rsid w:val="00133E44"/>
    <w:rsid w:val="001719F9"/>
    <w:rsid w:val="00187FD1"/>
    <w:rsid w:val="00214F04"/>
    <w:rsid w:val="00242EE9"/>
    <w:rsid w:val="00252F74"/>
    <w:rsid w:val="002A0C4B"/>
    <w:rsid w:val="003105EB"/>
    <w:rsid w:val="00333201"/>
    <w:rsid w:val="003A6A37"/>
    <w:rsid w:val="003D7CDC"/>
    <w:rsid w:val="00403EB5"/>
    <w:rsid w:val="00441C1C"/>
    <w:rsid w:val="0044547E"/>
    <w:rsid w:val="00473C35"/>
    <w:rsid w:val="00487C75"/>
    <w:rsid w:val="004C5C04"/>
    <w:rsid w:val="004D4AAD"/>
    <w:rsid w:val="004E1461"/>
    <w:rsid w:val="004E2AE0"/>
    <w:rsid w:val="00522C0B"/>
    <w:rsid w:val="00547C89"/>
    <w:rsid w:val="00560CDA"/>
    <w:rsid w:val="00603ACB"/>
    <w:rsid w:val="00680F7D"/>
    <w:rsid w:val="00693C71"/>
    <w:rsid w:val="006A2D8F"/>
    <w:rsid w:val="00736A21"/>
    <w:rsid w:val="00753AAA"/>
    <w:rsid w:val="0078712E"/>
    <w:rsid w:val="00830F76"/>
    <w:rsid w:val="008340B2"/>
    <w:rsid w:val="008D7632"/>
    <w:rsid w:val="008E1400"/>
    <w:rsid w:val="008F516B"/>
    <w:rsid w:val="00921D8A"/>
    <w:rsid w:val="00951454"/>
    <w:rsid w:val="00992E9C"/>
    <w:rsid w:val="009E1564"/>
    <w:rsid w:val="009F0C6E"/>
    <w:rsid w:val="00A3232B"/>
    <w:rsid w:val="00A334F8"/>
    <w:rsid w:val="00BD5B52"/>
    <w:rsid w:val="00C14E48"/>
    <w:rsid w:val="00C20DC1"/>
    <w:rsid w:val="00C33045"/>
    <w:rsid w:val="00CD0374"/>
    <w:rsid w:val="00CF5E14"/>
    <w:rsid w:val="00D4197B"/>
    <w:rsid w:val="00D46214"/>
    <w:rsid w:val="00DA36F2"/>
    <w:rsid w:val="00DD51E1"/>
    <w:rsid w:val="00E064B3"/>
    <w:rsid w:val="00E627DB"/>
    <w:rsid w:val="00E6358F"/>
    <w:rsid w:val="00E92BA3"/>
    <w:rsid w:val="00EF39CF"/>
    <w:rsid w:val="00F41573"/>
    <w:rsid w:val="00F47530"/>
    <w:rsid w:val="00F86E44"/>
    <w:rsid w:val="00F94AB2"/>
    <w:rsid w:val="00FE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7E"/>
  </w:style>
  <w:style w:type="paragraph" w:styleId="Heading2">
    <w:name w:val="heading 2"/>
    <w:basedOn w:val="Normal"/>
    <w:link w:val="Heading2Char"/>
    <w:uiPriority w:val="9"/>
    <w:qFormat/>
    <w:rsid w:val="00441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1C1C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unhideWhenUsed/>
    <w:rsid w:val="0044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dr">
    <w:name w:val="adr"/>
    <w:basedOn w:val="DefaultParagraphFont"/>
    <w:rsid w:val="004D4AAD"/>
  </w:style>
  <w:style w:type="character" w:customStyle="1" w:styleId="nob">
    <w:name w:val="nob"/>
    <w:basedOn w:val="DefaultParagraphFont"/>
    <w:rsid w:val="004D4AAD"/>
  </w:style>
  <w:style w:type="paragraph" w:styleId="Header">
    <w:name w:val="header"/>
    <w:basedOn w:val="Normal"/>
    <w:link w:val="HeaderChar"/>
    <w:uiPriority w:val="99"/>
    <w:semiHidden/>
    <w:unhideWhenUsed/>
    <w:rsid w:val="00787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12E"/>
  </w:style>
  <w:style w:type="paragraph" w:styleId="Footer">
    <w:name w:val="footer"/>
    <w:basedOn w:val="Normal"/>
    <w:link w:val="FooterChar"/>
    <w:uiPriority w:val="99"/>
    <w:semiHidden/>
    <w:unhideWhenUsed/>
    <w:rsid w:val="00787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12E"/>
  </w:style>
  <w:style w:type="character" w:styleId="CommentReference">
    <w:name w:val="annotation reference"/>
    <w:basedOn w:val="DefaultParagraphFont"/>
    <w:uiPriority w:val="99"/>
    <w:semiHidden/>
    <w:unhideWhenUsed/>
    <w:rsid w:val="00333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2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2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2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0CD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 1"/>
    <w:basedOn w:val="Normal"/>
    <w:unhideWhenUsed/>
    <w:qFormat/>
    <w:rsid w:val="00560CDA"/>
    <w:pPr>
      <w:spacing w:after="240" w:line="300" w:lineRule="atLeast"/>
      <w:jc w:val="both"/>
    </w:pPr>
    <w:rPr>
      <w:rFonts w:ascii="Arial" w:eastAsia="Times New Roman" w:hAnsi="Arial" w:cs="Times New Roman"/>
      <w:b/>
      <w:color w:val="404040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1315</Words>
  <Characters>7502</Characters>
  <Application>Microsoft Office Word</Application>
  <DocSecurity>0</DocSecurity>
  <PresentationFormat/>
  <Lines>258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8742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Sérvulo</dc:creator>
  <cp:keywords/>
  <dc:description/>
  <cp:lastModifiedBy>Sérvulo</cp:lastModifiedBy>
  <cp:revision>3</cp:revision>
  <cp:lastPrinted>2013-04-18T16:39:00Z</cp:lastPrinted>
  <dcterms:created xsi:type="dcterms:W3CDTF">2013-04-19T14:17:00Z</dcterms:created>
  <dcterms:modified xsi:type="dcterms:W3CDTF">2013-05-21T18:10:00Z</dcterms:modified>
  <cp:category/>
  <cp:contentType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3617.001/JSS/1739717.1</vt:lpwstr>
  </property>
  <property fmtid="{D5CDD505-2E9C-101B-9397-08002B2CF9AE}" pid="3" name="ADOwnerFullName">
    <vt:lpwstr>Jorge da Silva Sampaio</vt:lpwstr>
  </property>
  <property fmtid="{D5CDD505-2E9C-101B-9397-08002B2CF9AE}" pid="4" name="ADOwnerEmail">
    <vt:lpwstr>JSS@servulo.com</vt:lpwstr>
  </property>
  <property fmtid="{D5CDD505-2E9C-101B-9397-08002B2CF9AE}" pid="5" name="ADOwnerInitials">
    <vt:lpwstr/>
  </property>
  <property fmtid="{D5CDD505-2E9C-101B-9397-08002B2CF9AE}" pid="6" name="ADOwnerOffice">
    <vt:lpwstr/>
  </property>
</Properties>
</file>