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59" w:rsidRDefault="000E1A59" w:rsidP="003D05D7">
      <w:pPr>
        <w:spacing w:line="360" w:lineRule="atLeast"/>
        <w:jc w:val="center"/>
        <w:rPr>
          <w:rFonts w:ascii="Garamond" w:hAnsi="Garamond"/>
          <w:b/>
          <w:smallCaps/>
          <w:color w:val="auto"/>
          <w:sz w:val="28"/>
          <w:szCs w:val="28"/>
          <w:lang w:val="pt-PT"/>
        </w:rPr>
      </w:pPr>
      <w:bookmarkStart w:id="0" w:name="OLE_LINK652"/>
      <w:bookmarkStart w:id="1" w:name="OLE_LINK653"/>
      <w:r w:rsidRPr="003D05D7">
        <w:rPr>
          <w:rFonts w:ascii="Garamond" w:hAnsi="Garamond"/>
          <w:b/>
          <w:smallCaps/>
          <w:color w:val="auto"/>
          <w:sz w:val="28"/>
          <w:szCs w:val="28"/>
          <w:lang w:val="pt-PT"/>
        </w:rPr>
        <w:t>Princípio da Proporcionalidade</w:t>
      </w:r>
    </w:p>
    <w:p w:rsidR="000E1A59" w:rsidRPr="003D05D7" w:rsidRDefault="000E1A59" w:rsidP="003D05D7">
      <w:pPr>
        <w:spacing w:line="360" w:lineRule="atLeast"/>
        <w:jc w:val="center"/>
        <w:rPr>
          <w:rFonts w:ascii="Garamond" w:hAnsi="Garamond"/>
          <w:b/>
          <w:smallCaps/>
          <w:color w:val="auto"/>
          <w:sz w:val="28"/>
          <w:szCs w:val="28"/>
          <w:lang w:val="pt-PT"/>
        </w:rPr>
      </w:pPr>
    </w:p>
    <w:p w:rsidR="000E1A59" w:rsidRPr="003D05D7" w:rsidRDefault="000E1A59" w:rsidP="009D5D7E">
      <w:pPr>
        <w:pStyle w:val="Title1"/>
        <w:numPr>
          <w:ilvl w:val="0"/>
          <w:numId w:val="4"/>
        </w:numPr>
        <w:tabs>
          <w:tab w:val="left" w:pos="1276"/>
          <w:tab w:val="left" w:pos="1701"/>
          <w:tab w:val="left" w:pos="1843"/>
          <w:tab w:val="left" w:pos="1985"/>
          <w:tab w:val="left" w:pos="2835"/>
          <w:tab w:val="left" w:pos="7020"/>
          <w:tab w:val="left" w:pos="9072"/>
        </w:tabs>
        <w:spacing w:after="120" w:line="360" w:lineRule="atLeast"/>
        <w:ind w:left="567" w:hanging="567"/>
        <w:rPr>
          <w:rFonts w:ascii="Garamond" w:hAnsi="Garamond"/>
          <w:smallCaps/>
          <w:color w:val="auto"/>
          <w:sz w:val="21"/>
          <w:szCs w:val="21"/>
          <w:lang w:val="pt-PT"/>
        </w:rPr>
      </w:pPr>
      <w:r w:rsidRPr="003D05D7">
        <w:rPr>
          <w:rFonts w:ascii="Garamond" w:hAnsi="Garamond"/>
          <w:smallCaps/>
          <w:color w:val="auto"/>
          <w:sz w:val="24"/>
          <w:szCs w:val="24"/>
          <w:lang w:val="pt-PT"/>
        </w:rPr>
        <w:t>A utilização dos princípios constitucionais enquanto parâmetros objectivos de controlo</w:t>
      </w:r>
    </w:p>
    <w:bookmarkEnd w:id="0"/>
    <w:bookmarkEnd w:id="1"/>
    <w:p w:rsidR="000E1A59" w:rsidRPr="003520AF" w:rsidRDefault="000E1A59" w:rsidP="002214EA">
      <w:pPr>
        <w:pStyle w:val="Title1"/>
        <w:numPr>
          <w:ilvl w:val="0"/>
          <w:numId w:val="2"/>
        </w:numPr>
        <w:tabs>
          <w:tab w:val="left" w:pos="1276"/>
          <w:tab w:val="left" w:pos="1560"/>
          <w:tab w:val="left" w:pos="2835"/>
          <w:tab w:val="left" w:pos="9072"/>
        </w:tabs>
        <w:autoSpaceDE w:val="0"/>
        <w:autoSpaceDN w:val="0"/>
        <w:adjustRightInd w:val="0"/>
        <w:spacing w:after="0" w:line="360" w:lineRule="atLeast"/>
        <w:ind w:left="0" w:right="-1"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O princípio do Estado social de Direito, a espinha dorsal do ordenamento jurídico-constitucional, é o fundamento de vários princípios constitucionais que se afiguram como </w:t>
      </w:r>
      <w:r w:rsidRPr="003520AF">
        <w:rPr>
          <w:rFonts w:ascii="Garamond" w:hAnsi="Garamond"/>
          <w:b w:val="0"/>
          <w:i/>
          <w:color w:val="auto"/>
          <w:sz w:val="24"/>
          <w:szCs w:val="24"/>
          <w:lang w:val="pt-PT"/>
        </w:rPr>
        <w:t>estruturantes</w:t>
      </w:r>
      <w:r w:rsidRPr="003520AF">
        <w:rPr>
          <w:rFonts w:ascii="Garamond" w:hAnsi="Garamond"/>
          <w:b w:val="0"/>
          <w:color w:val="auto"/>
          <w:sz w:val="24"/>
          <w:szCs w:val="24"/>
          <w:lang w:val="pt-PT"/>
        </w:rPr>
        <w:t xml:space="preserve"> para República Portuguesa </w:t>
      </w:r>
      <w:bookmarkStart w:id="2" w:name="OLE_LINK1111"/>
      <w:bookmarkStart w:id="3" w:name="OLE_LINK1112"/>
      <w:r w:rsidRPr="003520AF">
        <w:rPr>
          <w:rFonts w:ascii="Garamond" w:hAnsi="Garamond"/>
          <w:b w:val="0"/>
          <w:color w:val="auto"/>
          <w:sz w:val="24"/>
          <w:szCs w:val="24"/>
          <w:lang w:val="pt-PT"/>
        </w:rPr>
        <w:t>(</w:t>
      </w:r>
      <w:r w:rsidRPr="003520AF">
        <w:rPr>
          <w:rStyle w:val="FootnoteReference"/>
          <w:rFonts w:ascii="Garamond" w:hAnsi="Garamond"/>
          <w:b w:val="0"/>
          <w:color w:val="auto"/>
          <w:sz w:val="24"/>
          <w:szCs w:val="24"/>
          <w:lang w:val="pt-PT"/>
        </w:rPr>
        <w:footnoteReference w:id="2"/>
      </w:r>
      <w:r w:rsidRPr="003520AF">
        <w:rPr>
          <w:rFonts w:ascii="Garamond" w:hAnsi="Garamond"/>
          <w:b w:val="0"/>
          <w:color w:val="auto"/>
          <w:sz w:val="24"/>
          <w:szCs w:val="24"/>
          <w:lang w:val="pt-PT"/>
        </w:rPr>
        <w:t>)</w:t>
      </w:r>
      <w:bookmarkEnd w:id="2"/>
      <w:bookmarkEnd w:id="3"/>
      <w:r w:rsidRPr="003520AF">
        <w:rPr>
          <w:rFonts w:ascii="Garamond" w:hAnsi="Garamond"/>
          <w:b w:val="0"/>
          <w:color w:val="auto"/>
          <w:sz w:val="24"/>
          <w:szCs w:val="24"/>
          <w:lang w:val="pt-PT"/>
        </w:rPr>
        <w:t>. A consagração de um Estado social de Direito significa que «o poder do Estado só pode ser exercido com fundamento na Constituição, e em leis que formal e materialmente sejam conformes com ela, e com o fim de garantir a dignidade da pessoa humana, a liberdade, a justiça, a segurança», e ainda os bens de cariz económico, social e cultural (</w:t>
      </w:r>
      <w:r w:rsidRPr="003520AF">
        <w:rPr>
          <w:rStyle w:val="FootnoteReference"/>
          <w:rFonts w:ascii="Garamond" w:hAnsi="Garamond"/>
          <w:b w:val="0"/>
          <w:color w:val="auto"/>
          <w:sz w:val="24"/>
          <w:szCs w:val="24"/>
          <w:lang w:val="pt-PT"/>
        </w:rPr>
        <w:footnoteReference w:id="3"/>
      </w:r>
      <w:r w:rsidRPr="003520AF">
        <w:rPr>
          <w:rFonts w:ascii="Garamond" w:hAnsi="Garamond"/>
          <w:b w:val="0"/>
          <w:color w:val="auto"/>
          <w:sz w:val="24"/>
          <w:szCs w:val="24"/>
          <w:lang w:val="pt-PT"/>
        </w:rPr>
        <w:t xml:space="preserve">).  </w:t>
      </w:r>
    </w:p>
    <w:p w:rsidR="000E1A59" w:rsidRPr="003520AF" w:rsidRDefault="000E1A59" w:rsidP="002214EA">
      <w:pPr>
        <w:pStyle w:val="Title1"/>
        <w:tabs>
          <w:tab w:val="left" w:pos="1276"/>
          <w:tab w:val="left" w:pos="1560"/>
          <w:tab w:val="left" w:pos="2835"/>
          <w:tab w:val="left" w:pos="9072"/>
        </w:tabs>
        <w:autoSpaceDE w:val="0"/>
        <w:autoSpaceDN w:val="0"/>
        <w:adjustRightInd w:val="0"/>
        <w:spacing w:after="0" w:line="360" w:lineRule="atLeast"/>
        <w:ind w:right="-1"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Estes </w:t>
      </w:r>
      <w:r w:rsidRPr="003520AF">
        <w:rPr>
          <w:rFonts w:ascii="Garamond" w:hAnsi="Garamond"/>
          <w:b w:val="0"/>
          <w:i/>
          <w:color w:val="auto"/>
          <w:sz w:val="24"/>
          <w:szCs w:val="24"/>
          <w:lang w:val="pt-PT"/>
        </w:rPr>
        <w:t>princípios estruturantes</w:t>
      </w:r>
      <w:r w:rsidRPr="003520AF">
        <w:rPr>
          <w:rFonts w:ascii="Garamond" w:hAnsi="Garamond"/>
          <w:b w:val="0"/>
          <w:color w:val="auto"/>
          <w:sz w:val="24"/>
          <w:szCs w:val="24"/>
          <w:lang w:val="pt-PT"/>
        </w:rPr>
        <w:t xml:space="preserve"> «podem ser acolhidos expressa e especificadamente no texto da Constituição». De qualquer forma, ainda que não o sejam </w:t>
      </w:r>
      <w:r w:rsidRPr="00B93191">
        <w:rPr>
          <w:rFonts w:ascii="Garamond" w:hAnsi="Garamond"/>
          <w:b w:val="0"/>
          <w:color w:val="auto"/>
          <w:sz w:val="24"/>
          <w:szCs w:val="24"/>
          <w:lang w:val="pt-PT"/>
        </w:rPr>
        <w:t>—</w:t>
      </w:r>
      <w:r w:rsidRPr="003520AF">
        <w:rPr>
          <w:rFonts w:ascii="Garamond" w:hAnsi="Garamond"/>
          <w:b w:val="0"/>
          <w:color w:val="auto"/>
          <w:sz w:val="24"/>
          <w:szCs w:val="24"/>
          <w:lang w:val="pt-PT"/>
        </w:rPr>
        <w:t xml:space="preserve"> «e, pelo menos, alguns dos seus subprincípios não encontram, entre nós, tradução constitucional expressa </w:t>
      </w:r>
      <w:r w:rsidRPr="00B93191">
        <w:rPr>
          <w:rFonts w:ascii="Garamond" w:hAnsi="Garamond"/>
          <w:b w:val="0"/>
          <w:color w:val="auto"/>
          <w:sz w:val="24"/>
          <w:szCs w:val="24"/>
          <w:lang w:val="pt-PT"/>
        </w:rPr>
        <w:t>—</w:t>
      </w:r>
      <w:r w:rsidRPr="003520AF">
        <w:rPr>
          <w:rFonts w:ascii="Garamond" w:hAnsi="Garamond"/>
          <w:b w:val="0"/>
          <w:color w:val="auto"/>
          <w:sz w:val="24"/>
          <w:szCs w:val="24"/>
          <w:lang w:val="pt-PT"/>
        </w:rPr>
        <w:t>, têm sempre de valer como juridicamente vinculativos, de tal forma decorrem impositivamente de uma concepção adequada e actual de Estado de Direito» (</w:t>
      </w:r>
      <w:r w:rsidRPr="003520AF">
        <w:rPr>
          <w:rStyle w:val="FootnoteReference"/>
          <w:rFonts w:ascii="Garamond" w:hAnsi="Garamond"/>
          <w:b w:val="0"/>
          <w:color w:val="auto"/>
          <w:sz w:val="24"/>
          <w:szCs w:val="24"/>
          <w:lang w:val="pt-PT"/>
        </w:rPr>
        <w:footnoteReference w:id="4"/>
      </w:r>
      <w:r w:rsidRPr="003520AF">
        <w:rPr>
          <w:rFonts w:ascii="Garamond" w:hAnsi="Garamond"/>
          <w:b w:val="0"/>
          <w:color w:val="auto"/>
          <w:sz w:val="24"/>
          <w:szCs w:val="24"/>
          <w:lang w:val="pt-PT"/>
        </w:rPr>
        <w:t>).</w:t>
      </w:r>
    </w:p>
    <w:p w:rsidR="000E1A59" w:rsidRPr="003520AF" w:rsidRDefault="000E1A59" w:rsidP="002214EA">
      <w:pPr>
        <w:pStyle w:val="Title1"/>
        <w:tabs>
          <w:tab w:val="left" w:pos="1276"/>
          <w:tab w:val="left" w:pos="1560"/>
          <w:tab w:val="left" w:pos="2835"/>
          <w:tab w:val="left" w:pos="9072"/>
        </w:tabs>
        <w:autoSpaceDE w:val="0"/>
        <w:autoSpaceDN w:val="0"/>
        <w:adjustRightInd w:val="0"/>
        <w:spacing w:after="0" w:line="360" w:lineRule="atLeast"/>
        <w:ind w:right="-1"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O conhecimento destes princípios é importantíssimo «para a resolução de praticamente todos os casos </w:t>
      </w:r>
      <w:r w:rsidRPr="003520AF">
        <w:rPr>
          <w:rFonts w:ascii="Garamond" w:hAnsi="Garamond"/>
          <w:b w:val="0"/>
          <w:i/>
          <w:color w:val="auto"/>
          <w:sz w:val="24"/>
          <w:szCs w:val="24"/>
          <w:lang w:val="pt-PT"/>
        </w:rPr>
        <w:t xml:space="preserve">difíceis </w:t>
      </w:r>
      <w:r w:rsidRPr="003520AF">
        <w:rPr>
          <w:rFonts w:ascii="Garamond" w:hAnsi="Garamond"/>
          <w:b w:val="0"/>
          <w:color w:val="auto"/>
          <w:sz w:val="24"/>
          <w:szCs w:val="24"/>
          <w:lang w:val="pt-PT"/>
        </w:rPr>
        <w:t>suscitáveis no relacionamento entre Estado e cidadãos». Efectivamente, «ou essas controvérsias são directa, imediata e exclusivamente solucionáveis com recurso à aplicação de regras jurídicas de acesso e interpretação pacíficas […] ou não será, em geral, possível dar-lhes uma solução adequada sem o recurso e aplicação decisivas de princípios jurídicos próprios de Estado de Direito como são os princípios da igualdade, da proporcionalidade, da dignidade da pessoa humana, da segurança jurídica ou, ainda que num outro plano, os princípios da socialidade e democrático» (</w:t>
      </w:r>
      <w:r w:rsidRPr="003520AF">
        <w:rPr>
          <w:rStyle w:val="FootnoteReference"/>
          <w:rFonts w:ascii="Garamond" w:hAnsi="Garamond"/>
          <w:b w:val="0"/>
          <w:color w:val="auto"/>
          <w:sz w:val="24"/>
          <w:szCs w:val="24"/>
          <w:lang w:val="pt-PT"/>
        </w:rPr>
        <w:footnoteReference w:id="5"/>
      </w:r>
      <w:r w:rsidRPr="003520AF">
        <w:rPr>
          <w:rFonts w:ascii="Garamond" w:hAnsi="Garamond"/>
          <w:b w:val="0"/>
          <w:color w:val="auto"/>
          <w:sz w:val="24"/>
          <w:szCs w:val="24"/>
          <w:lang w:val="pt-PT"/>
        </w:rPr>
        <w:t>).</w:t>
      </w:r>
    </w:p>
    <w:p w:rsidR="000E1A59" w:rsidRPr="003520AF" w:rsidRDefault="000E1A59" w:rsidP="002214EA">
      <w:pPr>
        <w:pStyle w:val="Title1"/>
        <w:tabs>
          <w:tab w:val="left" w:pos="0"/>
          <w:tab w:val="left" w:pos="1276"/>
          <w:tab w:val="left" w:pos="1560"/>
          <w:tab w:val="left" w:pos="2835"/>
          <w:tab w:val="left" w:pos="9072"/>
        </w:tabs>
        <w:autoSpaceDE w:val="0"/>
        <w:autoSpaceDN w:val="0"/>
        <w:adjustRightInd w:val="0"/>
        <w:spacing w:after="0" w:line="360" w:lineRule="atLeast"/>
        <w:ind w:right="-1" w:firstLine="709"/>
        <w:rPr>
          <w:rFonts w:ascii="Garamond" w:hAnsi="Garamond"/>
          <w:b w:val="0"/>
          <w:color w:val="auto"/>
          <w:sz w:val="24"/>
          <w:szCs w:val="24"/>
          <w:lang w:val="pt-PT"/>
        </w:rPr>
      </w:pPr>
      <w:r w:rsidRPr="003520AF">
        <w:rPr>
          <w:rFonts w:ascii="Garamond" w:hAnsi="Garamond"/>
          <w:b w:val="0"/>
          <w:color w:val="auto"/>
          <w:sz w:val="24"/>
          <w:szCs w:val="24"/>
          <w:lang w:val="pt-PT"/>
        </w:rPr>
        <w:t>Como referimos acima, o parâmetro de controlo, para além dos princípios vertidos expressamente na Constituição, pode também ser constituído por princípios implícitos no texto fundamental, desde que inferíveis de princípios constitucionais expressamente consagrados.</w:t>
      </w:r>
    </w:p>
    <w:p w:rsidR="000E1A59" w:rsidRPr="003520AF" w:rsidRDefault="000E1A59" w:rsidP="002214EA">
      <w:pPr>
        <w:pStyle w:val="Title1"/>
        <w:tabs>
          <w:tab w:val="left" w:pos="0"/>
          <w:tab w:val="left" w:pos="1276"/>
          <w:tab w:val="left" w:pos="1560"/>
          <w:tab w:val="left" w:pos="2835"/>
          <w:tab w:val="left" w:pos="9072"/>
        </w:tabs>
        <w:autoSpaceDE w:val="0"/>
        <w:autoSpaceDN w:val="0"/>
        <w:adjustRightInd w:val="0"/>
        <w:spacing w:after="0" w:line="360" w:lineRule="atLeast"/>
        <w:ind w:right="-1"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Assim, são inúmeros os princípios a que o Tribunal Constitucional pode recorrer para efectuar o controlo da constitucionalidade dos actos normativos e também, de acordo com aquilo que vimos defendendo, das políticas públicas de direitos sociais, como, por exemplo, o princípio da dignidade da pessoa humana, o princípio da igualdade, o princípio da proibição do excesso, princípio da segurança jurídica, o princípio da proibição da insuficiência, entre outros. </w:t>
      </w:r>
    </w:p>
    <w:p w:rsidR="000E1A59" w:rsidRPr="003520AF" w:rsidRDefault="000E1A59" w:rsidP="002214EA">
      <w:pPr>
        <w:pStyle w:val="Title1"/>
        <w:tabs>
          <w:tab w:val="left" w:pos="0"/>
          <w:tab w:val="left" w:pos="1276"/>
          <w:tab w:val="left" w:pos="1560"/>
          <w:tab w:val="left" w:pos="2835"/>
          <w:tab w:val="left" w:pos="9072"/>
        </w:tabs>
        <w:autoSpaceDE w:val="0"/>
        <w:autoSpaceDN w:val="0"/>
        <w:adjustRightInd w:val="0"/>
        <w:spacing w:after="0" w:line="360" w:lineRule="atLeast"/>
        <w:ind w:right="-1"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Embora todos possuam uma enorme importância para o labor da justiça constitucional, iremos apenas tratar o </w:t>
      </w:r>
      <w:r w:rsidRPr="003520AF">
        <w:rPr>
          <w:rFonts w:ascii="Garamond" w:hAnsi="Garamond"/>
          <w:b w:val="0"/>
          <w:i/>
          <w:color w:val="auto"/>
          <w:sz w:val="24"/>
          <w:szCs w:val="24"/>
          <w:lang w:val="pt-PT"/>
        </w:rPr>
        <w:t xml:space="preserve">princípio da proibição do excesso, </w:t>
      </w:r>
      <w:r w:rsidRPr="003520AF">
        <w:rPr>
          <w:rFonts w:ascii="Garamond" w:hAnsi="Garamond"/>
          <w:b w:val="0"/>
          <w:color w:val="auto"/>
          <w:sz w:val="24"/>
          <w:szCs w:val="24"/>
          <w:lang w:val="pt-PT"/>
        </w:rPr>
        <w:t xml:space="preserve">ainda que frugalmente, em especial, a sua vertente da </w:t>
      </w:r>
      <w:r w:rsidRPr="003520AF">
        <w:rPr>
          <w:rFonts w:ascii="Garamond" w:hAnsi="Garamond"/>
          <w:b w:val="0"/>
          <w:i/>
          <w:color w:val="auto"/>
          <w:sz w:val="24"/>
          <w:szCs w:val="24"/>
          <w:lang w:val="pt-PT"/>
        </w:rPr>
        <w:t>proporcionalidade em sentido estrito</w:t>
      </w:r>
      <w:r w:rsidRPr="003520AF">
        <w:rPr>
          <w:rFonts w:ascii="Garamond" w:hAnsi="Garamond"/>
          <w:b w:val="0"/>
          <w:color w:val="auto"/>
          <w:sz w:val="24"/>
          <w:szCs w:val="24"/>
          <w:lang w:val="pt-PT"/>
        </w:rPr>
        <w:t xml:space="preserve">, e o </w:t>
      </w:r>
      <w:r w:rsidRPr="003520AF">
        <w:rPr>
          <w:rFonts w:ascii="Garamond" w:hAnsi="Garamond"/>
          <w:b w:val="0"/>
          <w:i/>
          <w:color w:val="auto"/>
          <w:sz w:val="24"/>
          <w:szCs w:val="24"/>
          <w:lang w:val="pt-PT"/>
        </w:rPr>
        <w:t>princípio da proibição da insuficiência,</w:t>
      </w:r>
      <w:r w:rsidRPr="003520AF">
        <w:rPr>
          <w:rFonts w:ascii="Garamond" w:hAnsi="Garamond"/>
          <w:b w:val="0"/>
          <w:color w:val="auto"/>
          <w:sz w:val="24"/>
          <w:szCs w:val="24"/>
          <w:lang w:val="pt-PT"/>
        </w:rPr>
        <w:t xml:space="preserve"> pelo seu parco tratamento dogmático, e, no âmbito deste, o </w:t>
      </w:r>
      <w:r w:rsidRPr="003520AF">
        <w:rPr>
          <w:rFonts w:ascii="Garamond" w:hAnsi="Garamond"/>
          <w:b w:val="0"/>
          <w:i/>
          <w:color w:val="auto"/>
          <w:sz w:val="24"/>
          <w:szCs w:val="24"/>
          <w:lang w:val="pt-PT"/>
        </w:rPr>
        <w:t>princípio da razoabilidade</w:t>
      </w:r>
      <w:r w:rsidRPr="003520AF">
        <w:rPr>
          <w:rFonts w:ascii="Garamond" w:hAnsi="Garamond"/>
          <w:b w:val="0"/>
          <w:color w:val="auto"/>
          <w:sz w:val="24"/>
          <w:szCs w:val="24"/>
          <w:lang w:val="pt-PT"/>
        </w:rPr>
        <w:t xml:space="preserve">, que iremos utilizar, para além da </w:t>
      </w:r>
      <w:r w:rsidRPr="003520AF">
        <w:rPr>
          <w:rFonts w:ascii="Garamond" w:hAnsi="Garamond"/>
          <w:b w:val="0"/>
          <w:i/>
          <w:color w:val="auto"/>
          <w:sz w:val="24"/>
          <w:szCs w:val="24"/>
          <w:lang w:val="pt-PT"/>
        </w:rPr>
        <w:t>dignidade da pessoa humana</w:t>
      </w:r>
      <w:r w:rsidRPr="003520AF">
        <w:rPr>
          <w:rFonts w:ascii="Garamond" w:hAnsi="Garamond"/>
          <w:b w:val="0"/>
          <w:color w:val="auto"/>
          <w:sz w:val="24"/>
          <w:szCs w:val="24"/>
          <w:lang w:val="pt-PT"/>
        </w:rPr>
        <w:t>, enquanto sua principal muleta.</w:t>
      </w:r>
    </w:p>
    <w:p w:rsidR="000E1A59" w:rsidRPr="003520AF" w:rsidRDefault="000E1A59" w:rsidP="002214EA">
      <w:pPr>
        <w:pStyle w:val="Title1"/>
        <w:tabs>
          <w:tab w:val="left" w:pos="0"/>
          <w:tab w:val="left" w:pos="1276"/>
          <w:tab w:val="left" w:pos="1560"/>
          <w:tab w:val="left" w:pos="2835"/>
          <w:tab w:val="left" w:pos="9072"/>
        </w:tabs>
        <w:autoSpaceDE w:val="0"/>
        <w:autoSpaceDN w:val="0"/>
        <w:adjustRightInd w:val="0"/>
        <w:spacing w:after="0" w:line="360" w:lineRule="atLeast"/>
        <w:ind w:right="-1"/>
        <w:rPr>
          <w:rFonts w:ascii="Garamond" w:hAnsi="Garamond"/>
          <w:b w:val="0"/>
          <w:color w:val="auto"/>
          <w:sz w:val="24"/>
          <w:szCs w:val="24"/>
          <w:lang w:val="pt-PT"/>
        </w:rPr>
      </w:pPr>
    </w:p>
    <w:p w:rsidR="000E1A59" w:rsidRPr="003D05D7" w:rsidRDefault="000E1A59" w:rsidP="009D5D7E">
      <w:pPr>
        <w:pStyle w:val="Title1"/>
        <w:numPr>
          <w:ilvl w:val="0"/>
          <w:numId w:val="4"/>
        </w:numPr>
        <w:tabs>
          <w:tab w:val="left" w:pos="1276"/>
          <w:tab w:val="left" w:pos="2410"/>
          <w:tab w:val="left" w:pos="2835"/>
          <w:tab w:val="left" w:pos="7020"/>
          <w:tab w:val="left" w:pos="9072"/>
        </w:tabs>
        <w:spacing w:after="120" w:line="360" w:lineRule="atLeast"/>
        <w:ind w:left="567" w:hanging="567"/>
        <w:rPr>
          <w:rFonts w:ascii="Garamond" w:hAnsi="Garamond"/>
          <w:smallCaps/>
          <w:color w:val="auto"/>
          <w:sz w:val="21"/>
          <w:szCs w:val="21"/>
          <w:lang w:val="pt-PT"/>
        </w:rPr>
      </w:pPr>
      <w:bookmarkStart w:id="4" w:name="OLE_LINK656"/>
      <w:bookmarkStart w:id="5" w:name="OLE_LINK657"/>
      <w:r w:rsidRPr="003D05D7">
        <w:rPr>
          <w:rFonts w:ascii="Garamond" w:hAnsi="Garamond"/>
          <w:smallCaps/>
          <w:color w:val="auto"/>
          <w:sz w:val="24"/>
          <w:szCs w:val="24"/>
          <w:lang w:val="pt-PT"/>
        </w:rPr>
        <w:t>O manuseamento dos princípios</w:t>
      </w:r>
    </w:p>
    <w:bookmarkEnd w:id="4"/>
    <w:bookmarkEnd w:id="5"/>
    <w:p w:rsidR="000E1A59" w:rsidRPr="003520AF" w:rsidRDefault="000E1A59" w:rsidP="002214EA">
      <w:pPr>
        <w:pStyle w:val="Title1"/>
        <w:numPr>
          <w:ilvl w:val="0"/>
          <w:numId w:val="2"/>
        </w:numPr>
        <w:tabs>
          <w:tab w:val="left" w:pos="1276"/>
          <w:tab w:val="left" w:pos="1560"/>
          <w:tab w:val="left" w:pos="2835"/>
          <w:tab w:val="left" w:pos="9072"/>
        </w:tabs>
        <w:autoSpaceDE w:val="0"/>
        <w:autoSpaceDN w:val="0"/>
        <w:adjustRightInd w:val="0"/>
        <w:spacing w:after="0" w:line="360" w:lineRule="atLeast"/>
        <w:ind w:left="0" w:right="-1" w:firstLine="709"/>
        <w:rPr>
          <w:rFonts w:ascii="Garamond" w:hAnsi="Garamond"/>
          <w:b w:val="0"/>
          <w:color w:val="auto"/>
          <w:sz w:val="24"/>
          <w:szCs w:val="24"/>
          <w:lang w:val="pt-PT"/>
        </w:rPr>
      </w:pPr>
      <w:r>
        <w:rPr>
          <w:rFonts w:ascii="Garamond" w:hAnsi="Garamond"/>
          <w:b w:val="0"/>
          <w:color w:val="auto"/>
          <w:sz w:val="24"/>
          <w:szCs w:val="24"/>
          <w:lang w:val="pt-PT"/>
        </w:rPr>
        <w:t>A</w:t>
      </w:r>
      <w:r w:rsidRPr="003520AF">
        <w:rPr>
          <w:rFonts w:ascii="Garamond" w:hAnsi="Garamond"/>
          <w:b w:val="0"/>
          <w:color w:val="auto"/>
          <w:sz w:val="24"/>
          <w:szCs w:val="24"/>
          <w:lang w:val="pt-PT"/>
        </w:rPr>
        <w:t>s margens de controlo do juiz constitucional relativamente aos direitos sociais difere imenso consoante vários aspectos, nomeadamente as distinções entre a dimensão positiva e negativa, a distinção entre direitos positivos e negativos, e as diferenças existentes entre os diferentes deveres correlacionais de direitos fundamentais.</w:t>
      </w:r>
    </w:p>
    <w:p w:rsidR="000E1A59" w:rsidRPr="003520AF" w:rsidRDefault="000E1A59" w:rsidP="002214EA">
      <w:pPr>
        <w:pStyle w:val="Title1"/>
        <w:tabs>
          <w:tab w:val="left" w:pos="1276"/>
          <w:tab w:val="left" w:pos="1560"/>
          <w:tab w:val="left" w:pos="2835"/>
          <w:tab w:val="left" w:pos="9072"/>
        </w:tabs>
        <w:autoSpaceDE w:val="0"/>
        <w:autoSpaceDN w:val="0"/>
        <w:adjustRightInd w:val="0"/>
        <w:spacing w:after="0" w:line="360" w:lineRule="atLeast"/>
        <w:ind w:right="-1"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Independentemente da margem de controlo que o Tribunal Constitucional possui em cada caso concreto para o controlo da constitucionalidade das políticas públicas de direitos sociais, ele necessita de recorrer aos parâmetros de controlo, nomeadamente aos </w:t>
      </w:r>
      <w:r w:rsidRPr="003520AF">
        <w:rPr>
          <w:rFonts w:ascii="Garamond" w:hAnsi="Garamond"/>
          <w:b w:val="0"/>
          <w:i/>
          <w:color w:val="auto"/>
          <w:sz w:val="24"/>
          <w:szCs w:val="24"/>
          <w:lang w:val="pt-PT"/>
        </w:rPr>
        <w:t>princípios constitucionais</w:t>
      </w:r>
      <w:r w:rsidRPr="003520AF">
        <w:rPr>
          <w:rFonts w:ascii="Garamond" w:hAnsi="Garamond"/>
          <w:b w:val="0"/>
          <w:color w:val="auto"/>
          <w:sz w:val="24"/>
          <w:szCs w:val="24"/>
          <w:lang w:val="pt-PT"/>
        </w:rPr>
        <w:t xml:space="preserve"> para o fazer.</w:t>
      </w:r>
      <w:r>
        <w:rPr>
          <w:rFonts w:ascii="Garamond" w:hAnsi="Garamond"/>
          <w:b w:val="0"/>
          <w:color w:val="auto"/>
          <w:sz w:val="24"/>
          <w:szCs w:val="24"/>
          <w:lang w:val="pt-PT"/>
        </w:rPr>
        <w:t xml:space="preserve"> Mais, como afirma </w:t>
      </w:r>
      <w:r w:rsidRPr="0021164C">
        <w:rPr>
          <w:rFonts w:ascii="Garamond" w:hAnsi="Garamond"/>
          <w:b w:val="0"/>
          <w:smallCaps/>
          <w:color w:val="auto"/>
          <w:sz w:val="24"/>
          <w:szCs w:val="24"/>
          <w:lang w:val="pt-PT"/>
        </w:rPr>
        <w:t>Alexy</w:t>
      </w:r>
      <w:r>
        <w:rPr>
          <w:rFonts w:ascii="Garamond" w:hAnsi="Garamond"/>
          <w:b w:val="0"/>
          <w:color w:val="auto"/>
          <w:sz w:val="24"/>
          <w:szCs w:val="24"/>
          <w:lang w:val="pt-PT"/>
        </w:rPr>
        <w:t>, há mesmo uma «relação de implicaç</w:t>
      </w:r>
      <w:r w:rsidRPr="009030A6">
        <w:rPr>
          <w:rFonts w:ascii="Garamond" w:hAnsi="Garamond"/>
          <w:b w:val="0"/>
          <w:color w:val="auto"/>
          <w:sz w:val="24"/>
          <w:szCs w:val="24"/>
          <w:lang w:val="pt-PT"/>
        </w:rPr>
        <w:t>ão mútua» entre os direitos fundamentais como princípios e o princípio da proibição do excesso (</w:t>
      </w:r>
      <w:r w:rsidRPr="009030A6">
        <w:rPr>
          <w:rStyle w:val="FootnoteReference"/>
          <w:rFonts w:ascii="Garamond" w:hAnsi="Garamond"/>
          <w:b w:val="0"/>
          <w:color w:val="auto"/>
          <w:sz w:val="24"/>
          <w:szCs w:val="24"/>
          <w:lang w:val="pt-PT"/>
        </w:rPr>
        <w:footnoteReference w:id="6"/>
      </w:r>
      <w:r w:rsidRPr="009030A6">
        <w:rPr>
          <w:rFonts w:ascii="Garamond" w:hAnsi="Garamond"/>
          <w:b w:val="0"/>
          <w:color w:val="auto"/>
          <w:sz w:val="24"/>
          <w:szCs w:val="24"/>
          <w:lang w:val="pt-PT"/>
        </w:rPr>
        <w:t>) (mas também, no tocante aos direitos positivos, com o próprio princípio da proibição da insuficiência).</w:t>
      </w:r>
      <w:r>
        <w:rPr>
          <w:rFonts w:ascii="Garamond" w:hAnsi="Garamond"/>
          <w:b w:val="0"/>
          <w:color w:val="auto"/>
          <w:sz w:val="24"/>
          <w:szCs w:val="24"/>
          <w:lang w:val="pt-PT"/>
        </w:rPr>
        <w:t xml:space="preserve"> </w:t>
      </w:r>
    </w:p>
    <w:p w:rsidR="000E1A59" w:rsidRPr="003520AF" w:rsidRDefault="000E1A59" w:rsidP="002214EA">
      <w:pPr>
        <w:pStyle w:val="Title1"/>
        <w:tabs>
          <w:tab w:val="left" w:pos="1276"/>
          <w:tab w:val="left" w:pos="1560"/>
          <w:tab w:val="left" w:pos="2835"/>
          <w:tab w:val="left" w:pos="9072"/>
        </w:tabs>
        <w:autoSpaceDE w:val="0"/>
        <w:autoSpaceDN w:val="0"/>
        <w:adjustRightInd w:val="0"/>
        <w:spacing w:after="0" w:line="360" w:lineRule="atLeast"/>
        <w:ind w:right="-1"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Assim, quando estão em causa violações </w:t>
      </w:r>
      <w:r w:rsidRPr="003520AF">
        <w:rPr>
          <w:rFonts w:ascii="Garamond" w:hAnsi="Garamond"/>
          <w:b w:val="0"/>
          <w:i/>
          <w:color w:val="auto"/>
          <w:sz w:val="24"/>
          <w:szCs w:val="24"/>
          <w:lang w:val="pt-PT"/>
        </w:rPr>
        <w:t>por acção</w:t>
      </w:r>
      <w:r w:rsidRPr="003520AF">
        <w:rPr>
          <w:rFonts w:ascii="Garamond" w:hAnsi="Garamond"/>
          <w:b w:val="0"/>
          <w:color w:val="auto"/>
          <w:sz w:val="24"/>
          <w:szCs w:val="24"/>
          <w:lang w:val="pt-PT"/>
        </w:rPr>
        <w:t xml:space="preserve"> de direitos fundamentais, nomeadamente, quando está em causa a dimensão negativa dos direitos fundamentais e os deveres de abstenção, ou mesmo aqueles deveres negativos de defesa que podemos encontrar na dimensão positiva dos direitos fundamentais, o Tribunal recorre, muitas vezes, ao </w:t>
      </w:r>
      <w:r w:rsidRPr="003520AF">
        <w:rPr>
          <w:rFonts w:ascii="Garamond" w:hAnsi="Garamond"/>
          <w:b w:val="0"/>
          <w:i/>
          <w:color w:val="auto"/>
          <w:sz w:val="24"/>
          <w:szCs w:val="24"/>
          <w:lang w:val="pt-PT"/>
        </w:rPr>
        <w:t>princípio da proibição do excesso</w:t>
      </w:r>
      <w:r w:rsidRPr="003520AF">
        <w:rPr>
          <w:rFonts w:ascii="Garamond" w:hAnsi="Garamond"/>
          <w:b w:val="0"/>
          <w:color w:val="auto"/>
          <w:sz w:val="24"/>
          <w:szCs w:val="24"/>
          <w:lang w:val="pt-PT"/>
        </w:rPr>
        <w:t xml:space="preserve"> </w:t>
      </w:r>
      <w:r w:rsidRPr="00B93191">
        <w:rPr>
          <w:rFonts w:ascii="Garamond" w:hAnsi="Garamond"/>
          <w:b w:val="0"/>
          <w:color w:val="auto"/>
          <w:sz w:val="24"/>
          <w:szCs w:val="24"/>
          <w:lang w:val="pt-PT"/>
        </w:rPr>
        <w:t>—</w:t>
      </w:r>
      <w:r w:rsidRPr="003520AF">
        <w:rPr>
          <w:rFonts w:ascii="Garamond" w:hAnsi="Garamond"/>
          <w:b w:val="0"/>
          <w:color w:val="auto"/>
          <w:sz w:val="24"/>
          <w:szCs w:val="24"/>
          <w:lang w:val="pt-PT"/>
        </w:rPr>
        <w:t xml:space="preserve"> que se afigura como um </w:t>
      </w:r>
      <w:r w:rsidRPr="003520AF">
        <w:rPr>
          <w:rFonts w:ascii="Garamond" w:hAnsi="Garamond"/>
          <w:b w:val="0"/>
          <w:i/>
          <w:color w:val="auto"/>
          <w:sz w:val="24"/>
          <w:szCs w:val="24"/>
          <w:lang w:val="pt-PT"/>
        </w:rPr>
        <w:t>limite dos limites</w:t>
      </w:r>
      <w:r w:rsidRPr="003520AF">
        <w:rPr>
          <w:rFonts w:ascii="Garamond" w:hAnsi="Garamond"/>
          <w:b w:val="0"/>
          <w:color w:val="auto"/>
          <w:sz w:val="24"/>
          <w:szCs w:val="24"/>
          <w:lang w:val="pt-PT"/>
        </w:rPr>
        <w:t xml:space="preserve"> dos direitos fundamentais (</w:t>
      </w:r>
      <w:r w:rsidRPr="003520AF">
        <w:rPr>
          <w:rStyle w:val="FootnoteReference"/>
          <w:rFonts w:ascii="Garamond" w:hAnsi="Garamond"/>
          <w:b w:val="0"/>
          <w:color w:val="auto"/>
          <w:sz w:val="24"/>
          <w:szCs w:val="24"/>
          <w:lang w:val="pt-PT"/>
        </w:rPr>
        <w:footnoteReference w:id="7"/>
      </w:r>
      <w:r w:rsidRPr="003520AF">
        <w:rPr>
          <w:rFonts w:ascii="Garamond" w:hAnsi="Garamond"/>
          <w:b w:val="0"/>
          <w:color w:val="auto"/>
          <w:sz w:val="24"/>
          <w:szCs w:val="24"/>
          <w:lang w:val="pt-PT"/>
        </w:rPr>
        <w:t>)</w:t>
      </w:r>
      <w:r>
        <w:rPr>
          <w:rFonts w:ascii="Garamond" w:hAnsi="Garamond"/>
          <w:b w:val="0"/>
          <w:color w:val="auto"/>
          <w:sz w:val="24"/>
          <w:szCs w:val="24"/>
          <w:lang w:val="pt-PT"/>
        </w:rPr>
        <w:t xml:space="preserve"> </w:t>
      </w:r>
      <w:r w:rsidRPr="00B93191">
        <w:rPr>
          <w:rFonts w:ascii="Garamond" w:hAnsi="Garamond"/>
          <w:b w:val="0"/>
          <w:color w:val="auto"/>
          <w:sz w:val="24"/>
          <w:szCs w:val="24"/>
          <w:lang w:val="pt-PT"/>
        </w:rPr>
        <w:t>—</w:t>
      </w:r>
      <w:r w:rsidRPr="003520AF">
        <w:rPr>
          <w:rFonts w:ascii="Garamond" w:hAnsi="Garamond"/>
          <w:b w:val="0"/>
          <w:color w:val="auto"/>
          <w:sz w:val="24"/>
          <w:szCs w:val="24"/>
          <w:lang w:val="pt-PT"/>
        </w:rPr>
        <w:t xml:space="preserve"> para aferir da constitucionalidade da restrição que os poderes públicos pretendem efectuar a um direito fundamental.</w:t>
      </w:r>
    </w:p>
    <w:p w:rsidR="000E1A59" w:rsidRPr="003520AF" w:rsidRDefault="000E1A59" w:rsidP="002214EA">
      <w:pPr>
        <w:pStyle w:val="Title1"/>
        <w:tabs>
          <w:tab w:val="left" w:pos="1276"/>
          <w:tab w:val="left" w:pos="1560"/>
          <w:tab w:val="left" w:pos="2835"/>
          <w:tab w:val="left" w:pos="9072"/>
        </w:tabs>
        <w:autoSpaceDE w:val="0"/>
        <w:autoSpaceDN w:val="0"/>
        <w:adjustRightInd w:val="0"/>
        <w:spacing w:after="0" w:line="360" w:lineRule="atLeast"/>
        <w:ind w:right="-1"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Já quando está em causa, genericamente, a dimensão positiva dos direitos sociais e os deveres constitucionais de protecção, garantia e promoção desses direitos a que os poderes públicos se encontram adstritos, consideramos que o princípio da proibição do excesso, a que alguns recorrem, não apresenta resultados aceitáveis para o controlo da constitucionalidade das omissões de actuação estatal e propomos, por isso, o recurso ao </w:t>
      </w:r>
      <w:r w:rsidRPr="003520AF">
        <w:rPr>
          <w:rFonts w:ascii="Garamond" w:hAnsi="Garamond"/>
          <w:b w:val="0"/>
          <w:i/>
          <w:color w:val="auto"/>
          <w:sz w:val="24"/>
          <w:szCs w:val="24"/>
          <w:lang w:val="pt-PT"/>
        </w:rPr>
        <w:t>princípio da proibição da insuficiência</w:t>
      </w:r>
      <w:r w:rsidRPr="003520AF">
        <w:rPr>
          <w:rFonts w:ascii="Garamond" w:hAnsi="Garamond"/>
          <w:b w:val="0"/>
          <w:color w:val="auto"/>
          <w:sz w:val="24"/>
          <w:szCs w:val="24"/>
          <w:lang w:val="pt-PT"/>
        </w:rPr>
        <w:t>.</w:t>
      </w:r>
    </w:p>
    <w:p w:rsidR="000E1A59" w:rsidRPr="003520AF" w:rsidRDefault="000E1A59" w:rsidP="002214EA">
      <w:pPr>
        <w:pStyle w:val="Title1"/>
        <w:tabs>
          <w:tab w:val="left" w:pos="1276"/>
          <w:tab w:val="left" w:pos="1560"/>
          <w:tab w:val="left" w:pos="2835"/>
          <w:tab w:val="left" w:pos="9072"/>
        </w:tabs>
        <w:autoSpaceDE w:val="0"/>
        <w:autoSpaceDN w:val="0"/>
        <w:adjustRightInd w:val="0"/>
        <w:spacing w:after="0" w:line="360" w:lineRule="atLeast"/>
        <w:ind w:right="-1"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Desta forma, enquanto o primeiro </w:t>
      </w:r>
      <w:r w:rsidRPr="00B93191">
        <w:rPr>
          <w:rFonts w:ascii="Garamond" w:hAnsi="Garamond"/>
          <w:b w:val="0"/>
          <w:color w:val="auto"/>
          <w:sz w:val="24"/>
          <w:szCs w:val="24"/>
          <w:lang w:val="pt-PT"/>
        </w:rPr>
        <w:t>—</w:t>
      </w:r>
      <w:r w:rsidRPr="003520AF">
        <w:rPr>
          <w:rFonts w:ascii="Garamond" w:hAnsi="Garamond"/>
          <w:b w:val="0"/>
          <w:color w:val="auto"/>
          <w:sz w:val="24"/>
          <w:szCs w:val="24"/>
          <w:lang w:val="pt-PT"/>
        </w:rPr>
        <w:t xml:space="preserve"> a </w:t>
      </w:r>
      <w:r w:rsidRPr="003520AF">
        <w:rPr>
          <w:rFonts w:ascii="Garamond" w:hAnsi="Garamond"/>
          <w:b w:val="0"/>
          <w:i/>
          <w:color w:val="auto"/>
          <w:sz w:val="24"/>
          <w:szCs w:val="24"/>
          <w:lang w:val="pt-PT"/>
        </w:rPr>
        <w:t xml:space="preserve">Ubermassverbot </w:t>
      </w:r>
      <w:r w:rsidRPr="00B93191">
        <w:rPr>
          <w:rFonts w:ascii="Garamond" w:hAnsi="Garamond"/>
          <w:b w:val="0"/>
          <w:color w:val="auto"/>
          <w:sz w:val="24"/>
          <w:szCs w:val="24"/>
          <w:lang w:val="pt-PT"/>
        </w:rPr>
        <w:t>—</w:t>
      </w:r>
      <w:r w:rsidRPr="003520AF">
        <w:rPr>
          <w:rFonts w:ascii="Garamond" w:hAnsi="Garamond"/>
          <w:b w:val="0"/>
          <w:i/>
          <w:color w:val="auto"/>
          <w:sz w:val="24"/>
          <w:szCs w:val="24"/>
          <w:lang w:val="pt-PT"/>
        </w:rPr>
        <w:t xml:space="preserve"> </w:t>
      </w:r>
      <w:r w:rsidRPr="003520AF">
        <w:rPr>
          <w:rFonts w:ascii="Garamond" w:hAnsi="Garamond"/>
          <w:b w:val="0"/>
          <w:color w:val="auto"/>
          <w:sz w:val="24"/>
          <w:szCs w:val="24"/>
          <w:lang w:val="pt-PT"/>
        </w:rPr>
        <w:t>funciona como requisito e princípio de controlo da “</w:t>
      </w:r>
      <w:r w:rsidRPr="003520AF">
        <w:rPr>
          <w:rFonts w:ascii="Garamond" w:hAnsi="Garamond"/>
          <w:b w:val="0"/>
          <w:i/>
          <w:color w:val="auto"/>
          <w:sz w:val="24"/>
          <w:szCs w:val="24"/>
          <w:lang w:val="pt-PT"/>
        </w:rPr>
        <w:t>adequação</w:t>
      </w:r>
      <w:r w:rsidRPr="003520AF">
        <w:rPr>
          <w:rFonts w:ascii="Garamond" w:hAnsi="Garamond"/>
          <w:b w:val="0"/>
          <w:color w:val="auto"/>
          <w:sz w:val="24"/>
          <w:szCs w:val="24"/>
          <w:lang w:val="pt-PT"/>
        </w:rPr>
        <w:t xml:space="preserve"> da medida restritiva”, o segundo </w:t>
      </w:r>
      <w:r w:rsidRPr="00B93191">
        <w:rPr>
          <w:rFonts w:ascii="Garamond" w:hAnsi="Garamond"/>
          <w:b w:val="0"/>
          <w:color w:val="auto"/>
          <w:sz w:val="24"/>
          <w:szCs w:val="24"/>
          <w:lang w:val="pt-PT"/>
        </w:rPr>
        <w:t>—</w:t>
      </w:r>
      <w:r w:rsidRPr="003520AF">
        <w:rPr>
          <w:rFonts w:ascii="Garamond" w:hAnsi="Garamond"/>
          <w:b w:val="0"/>
          <w:color w:val="auto"/>
          <w:sz w:val="24"/>
          <w:szCs w:val="24"/>
          <w:lang w:val="pt-PT"/>
        </w:rPr>
        <w:t xml:space="preserve"> a </w:t>
      </w:r>
      <w:r w:rsidRPr="003520AF">
        <w:rPr>
          <w:rFonts w:ascii="Garamond" w:hAnsi="Garamond"/>
          <w:b w:val="0"/>
          <w:i/>
          <w:color w:val="auto"/>
          <w:sz w:val="24"/>
          <w:szCs w:val="24"/>
          <w:lang w:val="pt-PT"/>
        </w:rPr>
        <w:t>Untermassverbot</w:t>
      </w:r>
      <w:r w:rsidRPr="003520AF">
        <w:rPr>
          <w:rFonts w:ascii="Garamond" w:hAnsi="Garamond"/>
          <w:b w:val="0"/>
          <w:color w:val="auto"/>
          <w:sz w:val="24"/>
          <w:szCs w:val="24"/>
          <w:lang w:val="pt-PT"/>
        </w:rPr>
        <w:t xml:space="preserve"> </w:t>
      </w:r>
      <w:r w:rsidRPr="00B93191">
        <w:rPr>
          <w:rFonts w:ascii="Garamond" w:hAnsi="Garamond"/>
          <w:b w:val="0"/>
          <w:color w:val="auto"/>
          <w:sz w:val="24"/>
          <w:szCs w:val="24"/>
          <w:lang w:val="pt-PT"/>
        </w:rPr>
        <w:t>—</w:t>
      </w:r>
      <w:r w:rsidRPr="003520AF">
        <w:rPr>
          <w:rFonts w:ascii="Garamond" w:hAnsi="Garamond"/>
          <w:b w:val="0"/>
          <w:color w:val="auto"/>
          <w:sz w:val="24"/>
          <w:szCs w:val="24"/>
          <w:lang w:val="pt-PT"/>
        </w:rPr>
        <w:t xml:space="preserve"> não desempenha aí qualquer papel constitucionalmente </w:t>
      </w:r>
      <w:r w:rsidRPr="003520AF">
        <w:rPr>
          <w:rFonts w:ascii="Garamond" w:hAnsi="Garamond"/>
          <w:b w:val="0"/>
          <w:i/>
          <w:color w:val="auto"/>
          <w:sz w:val="24"/>
          <w:szCs w:val="24"/>
          <w:lang w:val="pt-PT"/>
        </w:rPr>
        <w:t>ajustado</w:t>
      </w:r>
      <w:r w:rsidRPr="003520AF">
        <w:rPr>
          <w:rFonts w:ascii="Garamond" w:hAnsi="Garamond"/>
          <w:b w:val="0"/>
          <w:color w:val="auto"/>
          <w:sz w:val="24"/>
          <w:szCs w:val="24"/>
          <w:lang w:val="pt-PT"/>
        </w:rPr>
        <w:t xml:space="preserve">, interessando a montante, quando se pretende apurar a existência de uma restrição a um direito fundamental por </w:t>
      </w:r>
      <w:r w:rsidRPr="003520AF">
        <w:rPr>
          <w:rFonts w:ascii="Garamond" w:hAnsi="Garamond"/>
          <w:b w:val="0"/>
          <w:i/>
          <w:color w:val="auto"/>
          <w:sz w:val="24"/>
          <w:szCs w:val="24"/>
          <w:lang w:val="pt-PT"/>
        </w:rPr>
        <w:t>insuficiência de actuação</w:t>
      </w:r>
      <w:r w:rsidRPr="003520AF">
        <w:rPr>
          <w:rFonts w:ascii="Garamond" w:hAnsi="Garamond"/>
          <w:b w:val="0"/>
          <w:color w:val="auto"/>
          <w:sz w:val="24"/>
          <w:szCs w:val="24"/>
          <w:lang w:val="pt-PT"/>
        </w:rPr>
        <w:t xml:space="preserve"> e de avaliar a respectiva justificação (</w:t>
      </w:r>
      <w:r w:rsidRPr="003520AF">
        <w:rPr>
          <w:rStyle w:val="FootnoteReference"/>
          <w:rFonts w:ascii="Garamond" w:hAnsi="Garamond"/>
          <w:b w:val="0"/>
          <w:color w:val="auto"/>
          <w:sz w:val="24"/>
          <w:szCs w:val="24"/>
          <w:lang w:val="pt-PT"/>
        </w:rPr>
        <w:footnoteReference w:id="8"/>
      </w:r>
      <w:r w:rsidRPr="003520AF">
        <w:rPr>
          <w:rFonts w:ascii="Garamond" w:hAnsi="Garamond"/>
          <w:b w:val="0"/>
          <w:color w:val="auto"/>
          <w:sz w:val="24"/>
          <w:szCs w:val="24"/>
          <w:lang w:val="pt-PT"/>
        </w:rPr>
        <w:t>).</w:t>
      </w:r>
    </w:p>
    <w:p w:rsidR="000E1A59" w:rsidRPr="003520AF" w:rsidRDefault="000E1A59" w:rsidP="002214EA">
      <w:pPr>
        <w:pStyle w:val="Title1"/>
        <w:tabs>
          <w:tab w:val="left" w:pos="1276"/>
          <w:tab w:val="left" w:pos="1560"/>
          <w:tab w:val="left" w:pos="2835"/>
          <w:tab w:val="left" w:pos="9072"/>
        </w:tabs>
        <w:autoSpaceDE w:val="0"/>
        <w:autoSpaceDN w:val="0"/>
        <w:adjustRightInd w:val="0"/>
        <w:spacing w:after="0" w:line="360" w:lineRule="atLeast"/>
        <w:ind w:right="-1"/>
        <w:rPr>
          <w:rFonts w:ascii="Garamond" w:hAnsi="Garamond"/>
          <w:b w:val="0"/>
          <w:color w:val="auto"/>
          <w:sz w:val="24"/>
          <w:szCs w:val="24"/>
          <w:lang w:val="pt-PT"/>
        </w:rPr>
      </w:pPr>
    </w:p>
    <w:p w:rsidR="000E1A59" w:rsidRPr="003D05D7" w:rsidRDefault="000E1A59" w:rsidP="009D5D7E">
      <w:pPr>
        <w:pStyle w:val="Title1"/>
        <w:numPr>
          <w:ilvl w:val="0"/>
          <w:numId w:val="4"/>
        </w:numPr>
        <w:tabs>
          <w:tab w:val="left" w:pos="2127"/>
          <w:tab w:val="num" w:pos="2835"/>
          <w:tab w:val="left" w:pos="7020"/>
          <w:tab w:val="left" w:pos="9072"/>
        </w:tabs>
        <w:spacing w:after="120" w:line="360" w:lineRule="atLeast"/>
        <w:ind w:left="567" w:hanging="567"/>
        <w:rPr>
          <w:rFonts w:ascii="Garamond" w:hAnsi="Garamond"/>
          <w:smallCaps/>
          <w:color w:val="auto"/>
          <w:sz w:val="21"/>
          <w:szCs w:val="21"/>
          <w:lang w:val="pt-PT"/>
        </w:rPr>
      </w:pPr>
      <w:bookmarkStart w:id="6" w:name="OLE_LINK658"/>
      <w:bookmarkStart w:id="7" w:name="OLE_LINK659"/>
      <w:r w:rsidRPr="003D05D7">
        <w:rPr>
          <w:rFonts w:ascii="Garamond" w:hAnsi="Garamond"/>
          <w:smallCaps/>
          <w:color w:val="auto"/>
          <w:sz w:val="24"/>
          <w:szCs w:val="24"/>
          <w:lang w:val="pt-PT"/>
        </w:rPr>
        <w:t>Princípio da proibição do excesso</w:t>
      </w:r>
      <w:r>
        <w:rPr>
          <w:rFonts w:ascii="Garamond" w:hAnsi="Garamond"/>
          <w:smallCaps/>
          <w:color w:val="auto"/>
          <w:sz w:val="24"/>
          <w:szCs w:val="24"/>
          <w:lang w:val="pt-PT"/>
        </w:rPr>
        <w:t xml:space="preserve"> ou da proporcionalidade</w:t>
      </w:r>
    </w:p>
    <w:bookmarkEnd w:id="6"/>
    <w:bookmarkEnd w:id="7"/>
    <w:p w:rsidR="000E1A59" w:rsidRPr="003520AF" w:rsidRDefault="000E1A59" w:rsidP="002214EA">
      <w:pPr>
        <w:pStyle w:val="Title1"/>
        <w:numPr>
          <w:ilvl w:val="0"/>
          <w:numId w:val="2"/>
        </w:numPr>
        <w:tabs>
          <w:tab w:val="left" w:pos="-142"/>
          <w:tab w:val="left" w:pos="1276"/>
          <w:tab w:val="left" w:pos="1560"/>
          <w:tab w:val="left" w:pos="2835"/>
          <w:tab w:val="left" w:pos="9072"/>
        </w:tabs>
        <w:autoSpaceDE w:val="0"/>
        <w:autoSpaceDN w:val="0"/>
        <w:adjustRightInd w:val="0"/>
        <w:spacing w:line="360" w:lineRule="atLeast"/>
        <w:ind w:left="0" w:firstLine="709"/>
        <w:rPr>
          <w:rFonts w:ascii="Garamond" w:hAnsi="Garamond"/>
          <w:b w:val="0"/>
          <w:color w:val="auto"/>
          <w:sz w:val="24"/>
          <w:szCs w:val="24"/>
          <w:lang w:val="pt-PT"/>
        </w:rPr>
      </w:pPr>
      <w:r w:rsidRPr="003520AF">
        <w:rPr>
          <w:rFonts w:ascii="Garamond" w:hAnsi="Garamond"/>
          <w:b w:val="0"/>
          <w:color w:val="auto"/>
          <w:sz w:val="24"/>
          <w:szCs w:val="24"/>
          <w:lang w:val="pt-PT"/>
        </w:rPr>
        <w:t xml:space="preserve">O </w:t>
      </w:r>
      <w:r w:rsidRPr="003520AF">
        <w:rPr>
          <w:rFonts w:ascii="Garamond" w:hAnsi="Garamond"/>
          <w:b w:val="0"/>
          <w:i/>
          <w:color w:val="auto"/>
          <w:sz w:val="24"/>
          <w:szCs w:val="24"/>
          <w:lang w:val="pt-PT"/>
        </w:rPr>
        <w:t>princípio da proibição do excesso</w:t>
      </w:r>
      <w:r w:rsidRPr="003520AF">
        <w:rPr>
          <w:rFonts w:ascii="Garamond" w:hAnsi="Garamond"/>
          <w:b w:val="0"/>
          <w:color w:val="auto"/>
          <w:sz w:val="24"/>
          <w:szCs w:val="24"/>
          <w:lang w:val="pt-PT"/>
        </w:rPr>
        <w:t xml:space="preserve"> </w:t>
      </w:r>
      <w:r>
        <w:rPr>
          <w:rFonts w:ascii="Garamond" w:hAnsi="Garamond"/>
          <w:b w:val="0"/>
          <w:color w:val="auto"/>
          <w:sz w:val="24"/>
          <w:szCs w:val="24"/>
          <w:lang w:val="pt-PT"/>
        </w:rPr>
        <w:t xml:space="preserve">ou </w:t>
      </w:r>
      <w:r w:rsidRPr="004F4E64">
        <w:rPr>
          <w:rFonts w:ascii="Garamond" w:hAnsi="Garamond"/>
          <w:b w:val="0"/>
          <w:i/>
          <w:color w:val="auto"/>
          <w:sz w:val="24"/>
          <w:szCs w:val="24"/>
          <w:lang w:val="pt-PT"/>
        </w:rPr>
        <w:t>da proporcionalidade</w:t>
      </w:r>
      <w:r>
        <w:rPr>
          <w:rFonts w:ascii="Garamond" w:hAnsi="Garamond"/>
          <w:b w:val="0"/>
          <w:color w:val="auto"/>
          <w:sz w:val="24"/>
          <w:szCs w:val="24"/>
          <w:lang w:val="pt-PT"/>
        </w:rPr>
        <w:t xml:space="preserve"> </w:t>
      </w:r>
      <w:r w:rsidRPr="003520AF">
        <w:rPr>
          <w:rFonts w:ascii="Garamond" w:hAnsi="Garamond"/>
          <w:b w:val="0"/>
          <w:color w:val="auto"/>
          <w:sz w:val="24"/>
          <w:szCs w:val="24"/>
          <w:lang w:val="pt-PT"/>
        </w:rPr>
        <w:t>(</w:t>
      </w:r>
      <w:r w:rsidRPr="003520AF">
        <w:rPr>
          <w:rStyle w:val="FootnoteReference"/>
          <w:rFonts w:ascii="Garamond" w:hAnsi="Garamond"/>
          <w:b w:val="0"/>
          <w:color w:val="auto"/>
          <w:sz w:val="24"/>
          <w:szCs w:val="24"/>
          <w:lang w:val="pt-PT"/>
        </w:rPr>
        <w:footnoteReference w:id="9"/>
      </w:r>
      <w:r w:rsidRPr="003520AF">
        <w:rPr>
          <w:rFonts w:ascii="Garamond" w:hAnsi="Garamond"/>
          <w:b w:val="0"/>
          <w:color w:val="auto"/>
          <w:sz w:val="24"/>
          <w:szCs w:val="24"/>
          <w:lang w:val="pt-PT"/>
        </w:rPr>
        <w:t>) é talvez o princípio mais bem sucedido dogmaticamente, tal é a unanimidade em redor da sua utilização</w:t>
      </w:r>
      <w:r>
        <w:rPr>
          <w:rFonts w:ascii="Garamond" w:hAnsi="Garamond"/>
          <w:b w:val="0"/>
          <w:color w:val="auto"/>
          <w:sz w:val="24"/>
          <w:szCs w:val="24"/>
          <w:lang w:val="pt-PT"/>
        </w:rPr>
        <w:t xml:space="preserve">, ao ponto de ser apontado como a «chave e método da dogmática do Direito Constitucional» </w:t>
      </w:r>
      <w:r w:rsidRPr="003520AF">
        <w:rPr>
          <w:rFonts w:ascii="Garamond" w:hAnsi="Garamond"/>
          <w:b w:val="0"/>
          <w:color w:val="auto"/>
          <w:sz w:val="24"/>
          <w:szCs w:val="24"/>
          <w:lang w:val="pt-PT"/>
        </w:rPr>
        <w:t>(</w:t>
      </w:r>
      <w:r w:rsidRPr="003520AF">
        <w:rPr>
          <w:rStyle w:val="FootnoteReference"/>
          <w:rFonts w:ascii="Garamond" w:hAnsi="Garamond"/>
          <w:b w:val="0"/>
          <w:color w:val="auto"/>
          <w:sz w:val="24"/>
          <w:szCs w:val="24"/>
          <w:lang w:val="pt-PT"/>
        </w:rPr>
        <w:footnoteReference w:id="10"/>
      </w:r>
      <w:r w:rsidRPr="003520AF">
        <w:rPr>
          <w:rFonts w:ascii="Garamond" w:hAnsi="Garamond"/>
          <w:b w:val="0"/>
          <w:color w:val="auto"/>
          <w:sz w:val="24"/>
          <w:szCs w:val="24"/>
          <w:lang w:val="pt-PT"/>
        </w:rPr>
        <w:t>)</w:t>
      </w:r>
      <w:r>
        <w:rPr>
          <w:rFonts w:ascii="Garamond" w:hAnsi="Garamond"/>
          <w:b w:val="0"/>
          <w:color w:val="auto"/>
          <w:sz w:val="24"/>
          <w:szCs w:val="24"/>
          <w:lang w:val="pt-PT"/>
        </w:rPr>
        <w:t xml:space="preserve">, existindo hoje um «firme consenso» sobre o seu «indispensável papel na argumentação de direito constitucionais» </w:t>
      </w:r>
      <w:r w:rsidRPr="003520AF">
        <w:rPr>
          <w:rFonts w:ascii="Garamond" w:hAnsi="Garamond"/>
          <w:b w:val="0"/>
          <w:color w:val="auto"/>
          <w:sz w:val="24"/>
          <w:szCs w:val="24"/>
          <w:lang w:val="pt-PT"/>
        </w:rPr>
        <w:t>(</w:t>
      </w:r>
      <w:r w:rsidRPr="003520AF">
        <w:rPr>
          <w:rStyle w:val="FootnoteReference"/>
          <w:rFonts w:ascii="Garamond" w:hAnsi="Garamond"/>
          <w:b w:val="0"/>
          <w:color w:val="auto"/>
          <w:sz w:val="24"/>
          <w:szCs w:val="24"/>
          <w:lang w:val="pt-PT"/>
        </w:rPr>
        <w:footnoteReference w:id="11"/>
      </w:r>
      <w:r w:rsidRPr="003520AF">
        <w:rPr>
          <w:rFonts w:ascii="Garamond" w:hAnsi="Garamond"/>
          <w:b w:val="0"/>
          <w:color w:val="auto"/>
          <w:sz w:val="24"/>
          <w:szCs w:val="24"/>
          <w:lang w:val="pt-PT"/>
        </w:rPr>
        <w:t xml:space="preserve">). Começou por, primitivamente, dizer «respeito ao problema da limitação do poder executivo, sendo considerado como </w:t>
      </w:r>
      <w:r w:rsidRPr="003520AF">
        <w:rPr>
          <w:rFonts w:ascii="Garamond" w:hAnsi="Garamond"/>
          <w:b w:val="0"/>
          <w:i/>
          <w:color w:val="auto"/>
          <w:sz w:val="24"/>
          <w:szCs w:val="24"/>
          <w:lang w:val="pt-PT"/>
        </w:rPr>
        <w:t>medida</w:t>
      </w:r>
      <w:r w:rsidRPr="003520AF">
        <w:rPr>
          <w:rFonts w:ascii="Garamond" w:hAnsi="Garamond"/>
          <w:b w:val="0"/>
          <w:color w:val="auto"/>
          <w:sz w:val="24"/>
          <w:szCs w:val="24"/>
          <w:lang w:val="pt-PT"/>
        </w:rPr>
        <w:t xml:space="preserve"> para as restrições administrativas da liberdade individual» (</w:t>
      </w:r>
      <w:r w:rsidRPr="003520AF">
        <w:rPr>
          <w:rStyle w:val="FootnoteReference"/>
          <w:rFonts w:ascii="Garamond" w:hAnsi="Garamond"/>
          <w:b w:val="0"/>
          <w:color w:val="auto"/>
          <w:sz w:val="24"/>
          <w:szCs w:val="24"/>
          <w:lang w:val="pt-PT"/>
        </w:rPr>
        <w:footnoteReference w:id="12"/>
      </w:r>
      <w:r w:rsidRPr="003520AF">
        <w:rPr>
          <w:rFonts w:ascii="Garamond" w:hAnsi="Garamond"/>
          <w:b w:val="0"/>
          <w:color w:val="auto"/>
          <w:sz w:val="24"/>
          <w:szCs w:val="24"/>
          <w:lang w:val="pt-PT"/>
        </w:rPr>
        <w:t>), e tendo nascido, de acordo com alguns autores, no direito prussiano de polícia do final do século XVIII (</w:t>
      </w:r>
      <w:r w:rsidRPr="003520AF">
        <w:rPr>
          <w:rStyle w:val="FootnoteReference"/>
          <w:rFonts w:ascii="Garamond" w:hAnsi="Garamond"/>
          <w:b w:val="0"/>
          <w:color w:val="auto"/>
          <w:sz w:val="24"/>
          <w:szCs w:val="24"/>
        </w:rPr>
        <w:footnoteReference w:id="13"/>
      </w:r>
      <w:r w:rsidRPr="003520AF">
        <w:rPr>
          <w:rFonts w:ascii="Garamond" w:hAnsi="Garamond"/>
          <w:b w:val="0"/>
          <w:color w:val="auto"/>
          <w:sz w:val="24"/>
          <w:szCs w:val="24"/>
          <w:lang w:val="pt-PT"/>
        </w:rPr>
        <w:t>). Posteriormente, após ter chegado ao Direito Administrativo no Século XIX, como um princípio geral do Direito de polícia, o princípio da proibição do excesso, ou da propor</w:t>
      </w:r>
      <w:r>
        <w:rPr>
          <w:rFonts w:ascii="Garamond" w:hAnsi="Garamond"/>
          <w:b w:val="0"/>
          <w:color w:val="auto"/>
          <w:sz w:val="24"/>
          <w:szCs w:val="24"/>
          <w:lang w:val="pt-PT"/>
        </w:rPr>
        <w:t>cionalidade em sentido amplo, é hoje</w:t>
      </w:r>
      <w:r w:rsidRPr="003520AF">
        <w:rPr>
          <w:rFonts w:ascii="Garamond" w:hAnsi="Garamond"/>
          <w:b w:val="0"/>
          <w:color w:val="auto"/>
          <w:sz w:val="24"/>
          <w:szCs w:val="24"/>
          <w:lang w:val="pt-PT"/>
        </w:rPr>
        <w:t xml:space="preserve"> não </w:t>
      </w:r>
      <w:r>
        <w:rPr>
          <w:rFonts w:ascii="Garamond" w:hAnsi="Garamond"/>
          <w:b w:val="0"/>
          <w:color w:val="auto"/>
          <w:sz w:val="24"/>
          <w:szCs w:val="24"/>
          <w:lang w:val="pt-PT"/>
        </w:rPr>
        <w:t>apenas</w:t>
      </w:r>
      <w:r w:rsidRPr="003520AF">
        <w:rPr>
          <w:rFonts w:ascii="Garamond" w:hAnsi="Garamond"/>
          <w:b w:val="0"/>
          <w:color w:val="auto"/>
          <w:sz w:val="24"/>
          <w:szCs w:val="24"/>
          <w:lang w:val="pt-PT"/>
        </w:rPr>
        <w:t xml:space="preserve"> um princípio geral de Direito</w:t>
      </w:r>
      <w:r>
        <w:rPr>
          <w:rFonts w:ascii="Garamond" w:hAnsi="Garamond"/>
          <w:b w:val="0"/>
          <w:color w:val="auto"/>
          <w:sz w:val="24"/>
          <w:szCs w:val="24"/>
          <w:lang w:val="pt-PT"/>
        </w:rPr>
        <w:t>,</w:t>
      </w:r>
      <w:r w:rsidRPr="003520AF">
        <w:rPr>
          <w:rFonts w:ascii="Garamond" w:hAnsi="Garamond"/>
          <w:b w:val="0"/>
          <w:color w:val="auto"/>
          <w:sz w:val="24"/>
          <w:szCs w:val="24"/>
          <w:lang w:val="pt-PT"/>
        </w:rPr>
        <w:t xml:space="preserve"> como um verdadeiro </w:t>
      </w:r>
      <w:r w:rsidRPr="003520AF">
        <w:rPr>
          <w:rFonts w:ascii="Garamond" w:hAnsi="Garamond"/>
          <w:b w:val="0"/>
          <w:i/>
          <w:color w:val="auto"/>
          <w:sz w:val="24"/>
          <w:szCs w:val="24"/>
          <w:lang w:val="pt-PT"/>
        </w:rPr>
        <w:t>princípio jurídico-constitucional</w:t>
      </w:r>
      <w:r w:rsidRPr="003520AF">
        <w:rPr>
          <w:rFonts w:ascii="Garamond" w:hAnsi="Garamond"/>
          <w:b w:val="0"/>
          <w:color w:val="auto"/>
          <w:sz w:val="24"/>
          <w:szCs w:val="24"/>
          <w:lang w:val="pt-PT"/>
        </w:rPr>
        <w:t xml:space="preserve"> (</w:t>
      </w:r>
      <w:r w:rsidRPr="003520AF">
        <w:rPr>
          <w:rStyle w:val="FootnoteReference"/>
          <w:rFonts w:ascii="Garamond" w:hAnsi="Garamond"/>
          <w:b w:val="0"/>
          <w:color w:val="auto"/>
          <w:sz w:val="24"/>
          <w:szCs w:val="24"/>
        </w:rPr>
        <w:footnoteReference w:id="14"/>
      </w:r>
      <w:r w:rsidRPr="003520AF">
        <w:rPr>
          <w:rFonts w:ascii="Garamond" w:hAnsi="Garamond"/>
          <w:b w:val="0"/>
          <w:color w:val="auto"/>
          <w:sz w:val="24"/>
          <w:szCs w:val="24"/>
          <w:lang w:val="pt-PT"/>
        </w:rPr>
        <w:t>), referência na jurisprudência dos nossos tribunais superiores (</w:t>
      </w:r>
      <w:r w:rsidRPr="003520AF">
        <w:rPr>
          <w:rStyle w:val="FootnoteReference"/>
          <w:rFonts w:ascii="Garamond" w:hAnsi="Garamond"/>
          <w:b w:val="0"/>
          <w:color w:val="auto"/>
          <w:sz w:val="24"/>
          <w:szCs w:val="24"/>
        </w:rPr>
        <w:footnoteReference w:id="15"/>
      </w:r>
      <w:r w:rsidRPr="003520AF">
        <w:rPr>
          <w:rFonts w:ascii="Garamond" w:hAnsi="Garamond"/>
          <w:b w:val="0"/>
          <w:color w:val="auto"/>
          <w:sz w:val="24"/>
          <w:szCs w:val="24"/>
          <w:lang w:val="pt-PT"/>
        </w:rPr>
        <w:t>)</w:t>
      </w:r>
      <w:r>
        <w:rPr>
          <w:rFonts w:ascii="Garamond" w:hAnsi="Garamond"/>
          <w:b w:val="0"/>
          <w:color w:val="auto"/>
          <w:sz w:val="24"/>
          <w:szCs w:val="24"/>
          <w:lang w:val="pt-PT"/>
        </w:rPr>
        <w:t xml:space="preserve">, e, enquanto principal método estruturante da ponderação, o mais importante instrumento jurisdicional, situando-se no «centro do trabalho dos tribunais» </w:t>
      </w:r>
      <w:r w:rsidRPr="003520AF">
        <w:rPr>
          <w:rFonts w:ascii="Garamond" w:hAnsi="Garamond"/>
          <w:b w:val="0"/>
          <w:color w:val="auto"/>
          <w:sz w:val="24"/>
          <w:szCs w:val="24"/>
          <w:lang w:val="pt-PT"/>
        </w:rPr>
        <w:t>(</w:t>
      </w:r>
      <w:r w:rsidRPr="003520AF">
        <w:rPr>
          <w:rStyle w:val="FootnoteReference"/>
          <w:rFonts w:ascii="Garamond" w:hAnsi="Garamond"/>
          <w:b w:val="0"/>
          <w:color w:val="auto"/>
          <w:sz w:val="24"/>
          <w:szCs w:val="24"/>
          <w:lang w:val="pt-PT"/>
        </w:rPr>
        <w:footnoteReference w:id="16"/>
      </w:r>
      <w:r w:rsidRPr="003520AF">
        <w:rPr>
          <w:rFonts w:ascii="Garamond" w:hAnsi="Garamond"/>
          <w:b w:val="0"/>
          <w:color w:val="auto"/>
          <w:sz w:val="24"/>
          <w:szCs w:val="24"/>
          <w:lang w:val="pt-PT"/>
        </w:rPr>
        <w:t>).</w:t>
      </w:r>
    </w:p>
    <w:p w:rsidR="000E1A59" w:rsidRDefault="000E1A59" w:rsidP="002214EA">
      <w:pPr>
        <w:numPr>
          <w:ilvl w:val="0"/>
          <w:numId w:val="2"/>
        </w:numPr>
        <w:tabs>
          <w:tab w:val="left" w:pos="-142"/>
          <w:tab w:val="left" w:pos="360"/>
          <w:tab w:val="left" w:pos="1276"/>
          <w:tab w:val="left" w:pos="9214"/>
        </w:tabs>
        <w:spacing w:after="0" w:line="400" w:lineRule="atLeast"/>
        <w:ind w:left="0" w:firstLine="709"/>
        <w:rPr>
          <w:rFonts w:ascii="Garamond" w:hAnsi="Garamond"/>
          <w:color w:val="auto"/>
          <w:sz w:val="24"/>
          <w:szCs w:val="24"/>
          <w:lang w:val="pt-PT"/>
        </w:rPr>
      </w:pPr>
      <w:r>
        <w:rPr>
          <w:rFonts w:ascii="Garamond" w:hAnsi="Garamond"/>
          <w:color w:val="auto"/>
          <w:sz w:val="24"/>
          <w:szCs w:val="24"/>
          <w:lang w:val="pt-PT"/>
        </w:rPr>
        <w:t xml:space="preserve">Este princípio é uma «construção legal» e uma «ferramenta metodológica» de inegável importância </w:t>
      </w:r>
      <w:r w:rsidRPr="00320BB2">
        <w:rPr>
          <w:rFonts w:ascii="Garamond" w:hAnsi="Garamond"/>
          <w:color w:val="auto"/>
          <w:sz w:val="24"/>
          <w:szCs w:val="24"/>
          <w:lang w:val="pt-PT"/>
        </w:rPr>
        <w:t>(</w:t>
      </w:r>
      <w:r w:rsidRPr="00320BB2">
        <w:rPr>
          <w:rStyle w:val="FootnoteReference"/>
          <w:rFonts w:ascii="Garamond" w:hAnsi="Garamond"/>
          <w:color w:val="auto"/>
          <w:sz w:val="24"/>
          <w:szCs w:val="24"/>
        </w:rPr>
        <w:footnoteReference w:id="17"/>
      </w:r>
      <w:r w:rsidRPr="00320BB2">
        <w:rPr>
          <w:rFonts w:ascii="Garamond" w:hAnsi="Garamond"/>
          <w:color w:val="auto"/>
          <w:sz w:val="24"/>
          <w:szCs w:val="24"/>
          <w:lang w:val="pt-PT"/>
        </w:rPr>
        <w:t>)</w:t>
      </w:r>
      <w:r>
        <w:rPr>
          <w:rFonts w:ascii="Garamond" w:hAnsi="Garamond"/>
          <w:color w:val="auto"/>
          <w:sz w:val="24"/>
          <w:szCs w:val="24"/>
          <w:lang w:val="pt-PT"/>
        </w:rPr>
        <w:t xml:space="preserve">. A sua «abordagem estruturada» é a mais adequada, atribuindo ao princípio «um conteúdo concreto» e permitindo uma «protecção adequada aos direitos fundamentais restringidos» </w:t>
      </w:r>
      <w:r w:rsidRPr="00320BB2">
        <w:rPr>
          <w:rFonts w:ascii="Garamond" w:hAnsi="Garamond"/>
          <w:color w:val="auto"/>
          <w:sz w:val="24"/>
          <w:szCs w:val="24"/>
          <w:lang w:val="pt-PT"/>
        </w:rPr>
        <w:t>(</w:t>
      </w:r>
      <w:r w:rsidRPr="00320BB2">
        <w:rPr>
          <w:rStyle w:val="FootnoteReference"/>
          <w:rFonts w:ascii="Garamond" w:hAnsi="Garamond"/>
          <w:color w:val="auto"/>
          <w:sz w:val="24"/>
          <w:szCs w:val="24"/>
        </w:rPr>
        <w:footnoteReference w:id="18"/>
      </w:r>
      <w:r w:rsidRPr="00320BB2">
        <w:rPr>
          <w:rFonts w:ascii="Garamond" w:hAnsi="Garamond"/>
          <w:color w:val="auto"/>
          <w:sz w:val="24"/>
          <w:szCs w:val="24"/>
          <w:lang w:val="pt-PT"/>
        </w:rPr>
        <w:t>)</w:t>
      </w:r>
      <w:r>
        <w:rPr>
          <w:rFonts w:ascii="Garamond" w:hAnsi="Garamond"/>
          <w:color w:val="auto"/>
          <w:sz w:val="24"/>
          <w:szCs w:val="24"/>
          <w:lang w:val="pt-PT"/>
        </w:rPr>
        <w:t xml:space="preserve"> </w:t>
      </w:r>
      <w:r w:rsidRPr="00320BB2">
        <w:rPr>
          <w:rFonts w:ascii="Garamond" w:hAnsi="Garamond"/>
          <w:color w:val="auto"/>
          <w:sz w:val="24"/>
          <w:szCs w:val="24"/>
          <w:lang w:val="pt-PT"/>
        </w:rPr>
        <w:t>(</w:t>
      </w:r>
      <w:r w:rsidRPr="00320BB2">
        <w:rPr>
          <w:rStyle w:val="FootnoteReference"/>
          <w:rFonts w:ascii="Garamond" w:hAnsi="Garamond"/>
          <w:color w:val="auto"/>
          <w:sz w:val="24"/>
          <w:szCs w:val="24"/>
        </w:rPr>
        <w:footnoteReference w:id="19"/>
      </w:r>
      <w:r w:rsidRPr="00320BB2">
        <w:rPr>
          <w:rFonts w:ascii="Garamond" w:hAnsi="Garamond"/>
          <w:color w:val="auto"/>
          <w:sz w:val="24"/>
          <w:szCs w:val="24"/>
          <w:lang w:val="pt-PT"/>
        </w:rPr>
        <w:t>)</w:t>
      </w:r>
      <w:r>
        <w:rPr>
          <w:rFonts w:ascii="Garamond" w:hAnsi="Garamond"/>
          <w:color w:val="auto"/>
          <w:sz w:val="24"/>
          <w:szCs w:val="24"/>
          <w:lang w:val="pt-PT"/>
        </w:rPr>
        <w:t xml:space="preserve">, e, bem assim, um «efeito disciplinador e racionalizador sobre as decisões judiciais». </w:t>
      </w:r>
      <w:r w:rsidRPr="003520AF">
        <w:rPr>
          <w:rFonts w:ascii="Garamond" w:hAnsi="Garamond"/>
          <w:color w:val="auto"/>
          <w:sz w:val="24"/>
          <w:szCs w:val="24"/>
          <w:lang w:val="pt-PT"/>
        </w:rPr>
        <w:t>A tripla classificação do princípio da proporcionalidade forjada nas últimas décadas pela doutrina e pela jurisprudência germânicas não foi, nem é, pacífica. A própria legitimidade do princípio mereceu reparos e ainda hoje é aceite por alguns sectores da doutrina com inúmeras cautelas ou reservas (</w:t>
      </w:r>
      <w:r w:rsidRPr="003520AF">
        <w:rPr>
          <w:rStyle w:val="FootnoteReference"/>
          <w:rFonts w:ascii="Garamond" w:hAnsi="Garamond"/>
          <w:color w:val="auto"/>
          <w:sz w:val="24"/>
          <w:szCs w:val="24"/>
          <w:lang w:val="pt-PT"/>
        </w:rPr>
        <w:footnoteReference w:id="20"/>
      </w:r>
      <w:r w:rsidRPr="003520AF">
        <w:rPr>
          <w:rFonts w:ascii="Garamond" w:hAnsi="Garamond"/>
          <w:color w:val="auto"/>
          <w:sz w:val="24"/>
          <w:szCs w:val="24"/>
          <w:lang w:val="pt-PT"/>
        </w:rPr>
        <w:t>)</w:t>
      </w:r>
      <w:r>
        <w:rPr>
          <w:rFonts w:ascii="Garamond" w:hAnsi="Garamond"/>
          <w:color w:val="auto"/>
          <w:sz w:val="24"/>
          <w:szCs w:val="24"/>
          <w:lang w:val="pt-PT"/>
        </w:rPr>
        <w:t xml:space="preserve"> </w:t>
      </w:r>
      <w:r w:rsidRPr="003520AF">
        <w:rPr>
          <w:rFonts w:ascii="Garamond" w:hAnsi="Garamond"/>
          <w:color w:val="auto"/>
          <w:sz w:val="24"/>
          <w:szCs w:val="24"/>
          <w:lang w:val="pt-PT"/>
        </w:rPr>
        <w:t>(</w:t>
      </w:r>
      <w:r w:rsidRPr="003520AF">
        <w:rPr>
          <w:rStyle w:val="FootnoteReference"/>
          <w:rFonts w:ascii="Garamond" w:hAnsi="Garamond"/>
          <w:color w:val="auto"/>
          <w:sz w:val="24"/>
          <w:szCs w:val="24"/>
          <w:lang w:val="pt-PT"/>
        </w:rPr>
        <w:footnoteReference w:id="21"/>
      </w:r>
      <w:r w:rsidRPr="003520AF">
        <w:rPr>
          <w:rFonts w:ascii="Garamond" w:hAnsi="Garamond"/>
          <w:color w:val="auto"/>
          <w:sz w:val="24"/>
          <w:szCs w:val="24"/>
          <w:lang w:val="pt-PT"/>
        </w:rPr>
        <w:t xml:space="preserve">). Não sendo este o lugar para discutir sobre as ainda várias controvérsias existentes sobre o princípio da proporcionalidade, podemos afirmar com a maior parte da doutrina, que este princípio subdivide-se em três sub-princípios, a saber: </w:t>
      </w:r>
    </w:p>
    <w:p w:rsidR="000E1A59" w:rsidRPr="002214EA" w:rsidRDefault="000E1A59" w:rsidP="003D05D7">
      <w:pPr>
        <w:pStyle w:val="ListParagraph"/>
        <w:numPr>
          <w:ilvl w:val="0"/>
          <w:numId w:val="3"/>
        </w:numPr>
        <w:tabs>
          <w:tab w:val="left" w:pos="-142"/>
          <w:tab w:val="left" w:pos="360"/>
          <w:tab w:val="left" w:pos="1276"/>
          <w:tab w:val="left" w:pos="9214"/>
        </w:tabs>
        <w:spacing w:after="0" w:line="400" w:lineRule="atLeast"/>
        <w:ind w:left="1276" w:hanging="567"/>
        <w:rPr>
          <w:rFonts w:ascii="Garamond" w:hAnsi="Garamond"/>
          <w:color w:val="auto"/>
          <w:sz w:val="24"/>
          <w:szCs w:val="24"/>
          <w:lang w:val="pt-PT"/>
        </w:rPr>
      </w:pPr>
      <w:r w:rsidRPr="003D05D7">
        <w:rPr>
          <w:rFonts w:ascii="Garamond" w:hAnsi="Garamond"/>
          <w:b/>
          <w:color w:val="auto"/>
          <w:sz w:val="24"/>
          <w:szCs w:val="24"/>
          <w:lang w:val="pt-PT"/>
        </w:rPr>
        <w:t>aptidão ou idoneidade</w:t>
      </w:r>
      <w:r w:rsidRPr="002214EA">
        <w:rPr>
          <w:rFonts w:ascii="Garamond" w:hAnsi="Garamond"/>
          <w:color w:val="auto"/>
          <w:sz w:val="24"/>
          <w:szCs w:val="24"/>
          <w:lang w:val="pt-PT"/>
        </w:rPr>
        <w:t xml:space="preserve"> (</w:t>
      </w:r>
      <w:r w:rsidRPr="002214EA">
        <w:rPr>
          <w:rFonts w:ascii="Garamond" w:hAnsi="Garamond"/>
          <w:i/>
          <w:color w:val="auto"/>
          <w:sz w:val="24"/>
          <w:szCs w:val="24"/>
          <w:lang w:val="pt-PT"/>
        </w:rPr>
        <w:t>Geeignetheit</w:t>
      </w:r>
      <w:r w:rsidRPr="002214EA">
        <w:rPr>
          <w:rFonts w:ascii="Garamond" w:hAnsi="Garamond"/>
          <w:color w:val="auto"/>
          <w:sz w:val="24"/>
          <w:szCs w:val="24"/>
          <w:lang w:val="pt-PT"/>
        </w:rPr>
        <w:t xml:space="preserve">); </w:t>
      </w:r>
    </w:p>
    <w:p w:rsidR="000E1A59" w:rsidRPr="002214EA" w:rsidRDefault="000E1A59" w:rsidP="003D05D7">
      <w:pPr>
        <w:pStyle w:val="ListParagraph"/>
        <w:numPr>
          <w:ilvl w:val="0"/>
          <w:numId w:val="3"/>
        </w:numPr>
        <w:tabs>
          <w:tab w:val="left" w:pos="-142"/>
          <w:tab w:val="left" w:pos="360"/>
          <w:tab w:val="left" w:pos="1276"/>
          <w:tab w:val="left" w:pos="9214"/>
        </w:tabs>
        <w:spacing w:after="0" w:line="400" w:lineRule="atLeast"/>
        <w:ind w:left="1276" w:hanging="567"/>
        <w:rPr>
          <w:rFonts w:ascii="Garamond" w:hAnsi="Garamond"/>
          <w:color w:val="auto"/>
          <w:sz w:val="24"/>
          <w:szCs w:val="24"/>
          <w:lang w:val="pt-PT"/>
        </w:rPr>
      </w:pPr>
      <w:r w:rsidRPr="003D05D7">
        <w:rPr>
          <w:rFonts w:ascii="Garamond" w:hAnsi="Garamond"/>
          <w:b/>
          <w:color w:val="auto"/>
          <w:sz w:val="24"/>
          <w:szCs w:val="24"/>
          <w:lang w:val="pt-PT"/>
        </w:rPr>
        <w:t>necessidade ou indispensabilidade</w:t>
      </w:r>
      <w:r w:rsidRPr="002214EA">
        <w:rPr>
          <w:rFonts w:ascii="Garamond" w:hAnsi="Garamond"/>
          <w:color w:val="auto"/>
          <w:sz w:val="24"/>
          <w:szCs w:val="24"/>
          <w:lang w:val="pt-PT"/>
        </w:rPr>
        <w:t xml:space="preserve"> (</w:t>
      </w:r>
      <w:r w:rsidRPr="002214EA">
        <w:rPr>
          <w:rFonts w:ascii="Garamond" w:hAnsi="Garamond"/>
          <w:i/>
          <w:color w:val="auto"/>
          <w:sz w:val="24"/>
          <w:szCs w:val="24"/>
          <w:lang w:val="pt-PT"/>
        </w:rPr>
        <w:t>Erforderlichkeit</w:t>
      </w:r>
      <w:r w:rsidRPr="002214EA">
        <w:rPr>
          <w:rFonts w:ascii="Garamond" w:hAnsi="Garamond"/>
          <w:color w:val="auto"/>
          <w:sz w:val="24"/>
          <w:szCs w:val="24"/>
          <w:lang w:val="pt-PT"/>
        </w:rPr>
        <w:t xml:space="preserve">); e </w:t>
      </w:r>
    </w:p>
    <w:p w:rsidR="000E1A59" w:rsidRDefault="000E1A59" w:rsidP="003D05D7">
      <w:pPr>
        <w:pStyle w:val="ListParagraph"/>
        <w:numPr>
          <w:ilvl w:val="0"/>
          <w:numId w:val="3"/>
        </w:numPr>
        <w:tabs>
          <w:tab w:val="left" w:pos="-142"/>
          <w:tab w:val="left" w:pos="360"/>
          <w:tab w:val="left" w:pos="1276"/>
          <w:tab w:val="left" w:pos="9214"/>
        </w:tabs>
        <w:spacing w:after="0" w:line="400" w:lineRule="atLeast"/>
        <w:ind w:left="1276" w:hanging="567"/>
        <w:rPr>
          <w:rFonts w:ascii="Garamond" w:hAnsi="Garamond"/>
          <w:color w:val="auto"/>
          <w:sz w:val="24"/>
          <w:szCs w:val="24"/>
          <w:lang w:val="pt-PT"/>
        </w:rPr>
      </w:pPr>
      <w:r w:rsidRPr="003D05D7">
        <w:rPr>
          <w:rFonts w:ascii="Garamond" w:hAnsi="Garamond"/>
          <w:b/>
          <w:color w:val="auto"/>
          <w:sz w:val="24"/>
          <w:szCs w:val="24"/>
          <w:lang w:val="pt-PT"/>
        </w:rPr>
        <w:t>proporcionalidade em sentido estrito</w:t>
      </w:r>
      <w:r w:rsidRPr="002214EA">
        <w:rPr>
          <w:rFonts w:ascii="Garamond" w:hAnsi="Garamond"/>
          <w:color w:val="auto"/>
          <w:sz w:val="24"/>
          <w:szCs w:val="24"/>
          <w:lang w:val="pt-PT"/>
        </w:rPr>
        <w:t xml:space="preserve"> (</w:t>
      </w:r>
      <w:r w:rsidRPr="002214EA">
        <w:rPr>
          <w:rFonts w:ascii="Garamond" w:hAnsi="Garamond"/>
          <w:i/>
          <w:color w:val="auto"/>
          <w:sz w:val="24"/>
          <w:szCs w:val="24"/>
          <w:lang w:val="pt-PT"/>
        </w:rPr>
        <w:t>Verhältnismässigkeit</w:t>
      </w:r>
      <w:r w:rsidRPr="002214EA">
        <w:rPr>
          <w:rFonts w:ascii="Garamond" w:hAnsi="Garamond"/>
          <w:color w:val="auto"/>
          <w:sz w:val="24"/>
          <w:szCs w:val="24"/>
          <w:lang w:val="pt-PT"/>
        </w:rPr>
        <w:t>) (</w:t>
      </w:r>
      <w:r w:rsidRPr="003520AF">
        <w:rPr>
          <w:rStyle w:val="FootnoteReference"/>
          <w:rFonts w:ascii="Garamond" w:hAnsi="Garamond"/>
          <w:color w:val="auto"/>
          <w:sz w:val="24"/>
          <w:szCs w:val="24"/>
          <w:lang w:val="pt-PT"/>
        </w:rPr>
        <w:footnoteReference w:id="22"/>
      </w:r>
      <w:r w:rsidRPr="002214EA">
        <w:rPr>
          <w:rFonts w:ascii="Garamond" w:hAnsi="Garamond"/>
          <w:color w:val="auto"/>
          <w:sz w:val="24"/>
          <w:szCs w:val="24"/>
          <w:lang w:val="pt-PT"/>
        </w:rPr>
        <w:t xml:space="preserve">). </w:t>
      </w:r>
    </w:p>
    <w:p w:rsidR="000E1A59" w:rsidRPr="003D05D7" w:rsidRDefault="000E1A59" w:rsidP="003D05D7">
      <w:pPr>
        <w:pStyle w:val="ListParagraph"/>
        <w:tabs>
          <w:tab w:val="left" w:pos="-142"/>
          <w:tab w:val="left" w:pos="360"/>
          <w:tab w:val="left" w:pos="1276"/>
          <w:tab w:val="left" w:pos="9214"/>
        </w:tabs>
        <w:spacing w:after="0" w:line="400" w:lineRule="atLeast"/>
        <w:ind w:left="1276"/>
        <w:rPr>
          <w:rFonts w:ascii="Garamond" w:hAnsi="Garamond"/>
          <w:i/>
          <w:color w:val="auto"/>
          <w:sz w:val="24"/>
          <w:szCs w:val="24"/>
          <w:lang w:val="pt-PT"/>
        </w:rPr>
      </w:pPr>
      <w:r w:rsidRPr="003D05D7">
        <w:rPr>
          <w:rFonts w:ascii="Garamond" w:hAnsi="Garamond"/>
          <w:i/>
          <w:color w:val="auto"/>
          <w:sz w:val="24"/>
          <w:szCs w:val="24"/>
          <w:lang w:val="pt-PT"/>
        </w:rPr>
        <w:t xml:space="preserve">Porém, recorrendo aqui ao princípio da proibição do excesso, enquanto princípio mais amplo que abrange o próprio princípio da proporcionalidade atrás descrito, podemos acrescentar um quarto subprincípio </w:t>
      </w:r>
      <w:r>
        <w:rPr>
          <w:rFonts w:ascii="Garamond" w:hAnsi="Garamond"/>
          <w:i/>
          <w:color w:val="auto"/>
          <w:sz w:val="24"/>
          <w:szCs w:val="24"/>
          <w:lang w:val="pt-PT"/>
        </w:rPr>
        <w:t>da</w:t>
      </w:r>
    </w:p>
    <w:p w:rsidR="000E1A59" w:rsidRPr="002214EA" w:rsidRDefault="000E1A59" w:rsidP="003D05D7">
      <w:pPr>
        <w:pStyle w:val="ListParagraph"/>
        <w:numPr>
          <w:ilvl w:val="0"/>
          <w:numId w:val="3"/>
        </w:numPr>
        <w:tabs>
          <w:tab w:val="left" w:pos="-142"/>
          <w:tab w:val="left" w:pos="360"/>
          <w:tab w:val="left" w:pos="1276"/>
          <w:tab w:val="left" w:pos="9214"/>
        </w:tabs>
        <w:spacing w:after="0" w:line="400" w:lineRule="atLeast"/>
        <w:ind w:left="1276" w:hanging="567"/>
        <w:rPr>
          <w:rFonts w:ascii="Garamond" w:hAnsi="Garamond"/>
          <w:color w:val="auto"/>
          <w:sz w:val="24"/>
          <w:szCs w:val="24"/>
          <w:lang w:val="pt-PT"/>
        </w:rPr>
      </w:pPr>
      <w:r w:rsidRPr="003D05D7">
        <w:rPr>
          <w:rFonts w:ascii="Garamond" w:hAnsi="Garamond"/>
          <w:b/>
          <w:color w:val="auto"/>
          <w:sz w:val="24"/>
          <w:szCs w:val="24"/>
          <w:lang w:val="pt-PT"/>
        </w:rPr>
        <w:t>razoabilidade</w:t>
      </w:r>
      <w:r w:rsidRPr="002214EA">
        <w:rPr>
          <w:rFonts w:ascii="Garamond" w:hAnsi="Garamond"/>
          <w:color w:val="auto"/>
          <w:sz w:val="24"/>
          <w:szCs w:val="24"/>
          <w:lang w:val="pt-PT"/>
        </w:rPr>
        <w:t xml:space="preserve"> (</w:t>
      </w:r>
      <w:r w:rsidRPr="003520AF">
        <w:rPr>
          <w:rStyle w:val="FootnoteReference"/>
          <w:rFonts w:ascii="Garamond" w:hAnsi="Garamond"/>
          <w:color w:val="auto"/>
          <w:sz w:val="24"/>
          <w:szCs w:val="24"/>
          <w:lang w:val="pt-PT"/>
        </w:rPr>
        <w:footnoteReference w:id="23"/>
      </w:r>
      <w:r w:rsidRPr="002214EA">
        <w:rPr>
          <w:rFonts w:ascii="Garamond" w:hAnsi="Garamond"/>
          <w:color w:val="auto"/>
          <w:sz w:val="24"/>
          <w:szCs w:val="24"/>
          <w:lang w:val="pt-PT"/>
        </w:rPr>
        <w:t xml:space="preserve">). </w:t>
      </w:r>
    </w:p>
    <w:p w:rsidR="000E1A59" w:rsidRPr="003520AF" w:rsidRDefault="000E1A59" w:rsidP="002214EA">
      <w:pPr>
        <w:tabs>
          <w:tab w:val="left" w:pos="-142"/>
          <w:tab w:val="left" w:pos="360"/>
          <w:tab w:val="left" w:pos="1276"/>
        </w:tabs>
        <w:spacing w:after="0" w:line="400" w:lineRule="atLeast"/>
        <w:ind w:firstLine="720"/>
        <w:rPr>
          <w:rFonts w:ascii="Garamond" w:hAnsi="Garamond"/>
          <w:color w:val="auto"/>
          <w:sz w:val="24"/>
          <w:szCs w:val="24"/>
          <w:lang w:val="pt-PT"/>
        </w:rPr>
      </w:pPr>
      <w:r w:rsidRPr="003520AF">
        <w:rPr>
          <w:rFonts w:ascii="Garamond" w:hAnsi="Garamond"/>
          <w:color w:val="auto"/>
          <w:sz w:val="24"/>
          <w:szCs w:val="24"/>
          <w:lang w:val="pt-PT"/>
        </w:rPr>
        <w:t>Não nos interessa reproduzir as diversas e longas referências doutrinárias ao princípio, mas deixem-se três precisões efectuadas pelo Tribunal Constitucional, no Acórdão n.º 632/2008,</w:t>
      </w:r>
      <w:r w:rsidRPr="003520AF">
        <w:rPr>
          <w:rFonts w:ascii="Garamond" w:hAnsi="Garamond"/>
          <w:b/>
          <w:color w:val="auto"/>
          <w:sz w:val="24"/>
          <w:szCs w:val="24"/>
          <w:lang w:val="pt-PT"/>
        </w:rPr>
        <w:t xml:space="preserve"> </w:t>
      </w:r>
      <w:r w:rsidRPr="003520AF">
        <w:rPr>
          <w:rFonts w:ascii="Garamond" w:hAnsi="Garamond"/>
          <w:color w:val="auto"/>
          <w:sz w:val="24"/>
          <w:szCs w:val="24"/>
          <w:lang w:val="pt-PT"/>
        </w:rPr>
        <w:t>de 23 de Dezembro,</w:t>
      </w:r>
      <w:r w:rsidRPr="003520AF">
        <w:rPr>
          <w:rFonts w:ascii="Garamond" w:hAnsi="Garamond"/>
          <w:b/>
          <w:color w:val="auto"/>
          <w:sz w:val="24"/>
          <w:szCs w:val="24"/>
          <w:lang w:val="pt-PT"/>
        </w:rPr>
        <w:t xml:space="preserve"> </w:t>
      </w:r>
      <w:r w:rsidRPr="003520AF">
        <w:rPr>
          <w:rFonts w:ascii="Garamond" w:hAnsi="Garamond"/>
          <w:color w:val="auto"/>
          <w:sz w:val="24"/>
          <w:szCs w:val="24"/>
          <w:lang w:val="pt-PT"/>
        </w:rPr>
        <w:t>acerca dos três subprincípios da proporcionalidade</w:t>
      </w:r>
      <w:r>
        <w:rPr>
          <w:rFonts w:ascii="Garamond" w:hAnsi="Garamond"/>
          <w:color w:val="auto"/>
          <w:sz w:val="24"/>
          <w:szCs w:val="24"/>
          <w:lang w:val="pt-PT"/>
        </w:rPr>
        <w:t xml:space="preserve"> </w:t>
      </w:r>
      <w:r w:rsidRPr="003520AF">
        <w:rPr>
          <w:rFonts w:ascii="Garamond" w:hAnsi="Garamond"/>
          <w:color w:val="auto"/>
          <w:sz w:val="24"/>
          <w:szCs w:val="24"/>
          <w:lang w:val="pt-PT"/>
        </w:rPr>
        <w:t>(</w:t>
      </w:r>
      <w:r w:rsidRPr="003520AF">
        <w:rPr>
          <w:rStyle w:val="FootnoteReference"/>
          <w:rFonts w:ascii="Garamond" w:hAnsi="Garamond"/>
          <w:color w:val="auto"/>
          <w:sz w:val="24"/>
          <w:szCs w:val="24"/>
          <w:lang w:val="pt-PT"/>
        </w:rPr>
        <w:footnoteReference w:id="24"/>
      </w:r>
      <w:r w:rsidRPr="003520AF">
        <w:rPr>
          <w:rFonts w:ascii="Garamond" w:hAnsi="Garamond"/>
          <w:color w:val="auto"/>
          <w:sz w:val="24"/>
          <w:szCs w:val="24"/>
          <w:lang w:val="pt-PT"/>
        </w:rPr>
        <w:t>).</w:t>
      </w:r>
    </w:p>
    <w:p w:rsidR="000E1A59" w:rsidRPr="003520AF" w:rsidRDefault="000E1A59" w:rsidP="002214EA">
      <w:pPr>
        <w:spacing w:after="0" w:line="360" w:lineRule="atLeast"/>
        <w:ind w:firstLine="720"/>
        <w:rPr>
          <w:rFonts w:ascii="Garamond" w:hAnsi="Garamond"/>
          <w:color w:val="auto"/>
          <w:sz w:val="24"/>
          <w:szCs w:val="24"/>
          <w:lang w:val="pt-PT"/>
        </w:rPr>
      </w:pPr>
      <w:r>
        <w:rPr>
          <w:rFonts w:ascii="Garamond" w:hAnsi="Garamond"/>
          <w:color w:val="auto"/>
          <w:sz w:val="24"/>
          <w:szCs w:val="24"/>
          <w:lang w:val="pt-PT"/>
        </w:rPr>
        <w:t xml:space="preserve">4.1. </w:t>
      </w:r>
      <w:r w:rsidRPr="003520AF">
        <w:rPr>
          <w:rFonts w:ascii="Garamond" w:hAnsi="Garamond"/>
          <w:color w:val="auto"/>
          <w:sz w:val="24"/>
          <w:szCs w:val="24"/>
          <w:lang w:val="pt-PT"/>
        </w:rPr>
        <w:t xml:space="preserve">Em primeiro lugar, o referido aresto do Tribunal Constitucional, referindo-se ao conteúdo exacto a conferir ao </w:t>
      </w:r>
      <w:r w:rsidRPr="003520AF">
        <w:rPr>
          <w:rFonts w:ascii="Garamond" w:hAnsi="Garamond"/>
          <w:i/>
          <w:color w:val="auto"/>
          <w:sz w:val="24"/>
          <w:szCs w:val="24"/>
          <w:lang w:val="pt-PT"/>
        </w:rPr>
        <w:t>test</w:t>
      </w:r>
      <w:r w:rsidRPr="003520AF">
        <w:rPr>
          <w:rFonts w:ascii="Garamond" w:hAnsi="Garamond"/>
          <w:color w:val="auto"/>
          <w:sz w:val="24"/>
          <w:szCs w:val="24"/>
          <w:lang w:val="pt-PT"/>
        </w:rPr>
        <w:t xml:space="preserve"> da </w:t>
      </w:r>
      <w:r w:rsidRPr="003520AF">
        <w:rPr>
          <w:rFonts w:ascii="Garamond" w:hAnsi="Garamond"/>
          <w:i/>
          <w:color w:val="auto"/>
          <w:sz w:val="24"/>
          <w:szCs w:val="24"/>
          <w:lang w:val="pt-PT"/>
        </w:rPr>
        <w:t>proporcionalidade</w:t>
      </w:r>
      <w:r w:rsidRPr="003520AF">
        <w:rPr>
          <w:rFonts w:ascii="Garamond" w:hAnsi="Garamond"/>
          <w:color w:val="auto"/>
          <w:sz w:val="24"/>
          <w:szCs w:val="24"/>
          <w:lang w:val="pt-PT"/>
        </w:rPr>
        <w:t xml:space="preserve"> </w:t>
      </w:r>
      <w:r w:rsidRPr="003520AF">
        <w:rPr>
          <w:rFonts w:ascii="Garamond" w:hAnsi="Garamond"/>
          <w:i/>
          <w:color w:val="auto"/>
          <w:sz w:val="24"/>
          <w:szCs w:val="24"/>
          <w:lang w:val="pt-PT"/>
        </w:rPr>
        <w:t>em sentido</w:t>
      </w:r>
      <w:r w:rsidRPr="003520AF">
        <w:rPr>
          <w:rFonts w:ascii="Garamond" w:hAnsi="Garamond"/>
          <w:color w:val="auto"/>
          <w:sz w:val="24"/>
          <w:szCs w:val="24"/>
          <w:lang w:val="pt-PT"/>
        </w:rPr>
        <w:t xml:space="preserve"> </w:t>
      </w:r>
      <w:r w:rsidRPr="003520AF">
        <w:rPr>
          <w:rFonts w:ascii="Garamond" w:hAnsi="Garamond"/>
          <w:i/>
          <w:color w:val="auto"/>
          <w:sz w:val="24"/>
          <w:szCs w:val="24"/>
          <w:lang w:val="pt-PT"/>
        </w:rPr>
        <w:t>estrito</w:t>
      </w:r>
      <w:r w:rsidRPr="003520AF">
        <w:rPr>
          <w:rFonts w:ascii="Garamond" w:hAnsi="Garamond"/>
          <w:color w:val="auto"/>
          <w:sz w:val="24"/>
          <w:szCs w:val="24"/>
          <w:lang w:val="pt-PT"/>
        </w:rPr>
        <w:t xml:space="preserve">, afirma que aquilo que, neste caso, se mede «é a relação </w:t>
      </w:r>
      <w:r w:rsidRPr="003520AF">
        <w:rPr>
          <w:rFonts w:ascii="Garamond" w:hAnsi="Garamond"/>
          <w:i/>
          <w:color w:val="auto"/>
          <w:sz w:val="24"/>
          <w:szCs w:val="24"/>
          <w:lang w:val="pt-PT"/>
        </w:rPr>
        <w:t>concretamente existente</w:t>
      </w:r>
      <w:r w:rsidRPr="003520AF">
        <w:rPr>
          <w:rFonts w:ascii="Garamond" w:hAnsi="Garamond"/>
          <w:color w:val="auto"/>
          <w:sz w:val="24"/>
          <w:szCs w:val="24"/>
          <w:lang w:val="pt-PT"/>
        </w:rPr>
        <w:t xml:space="preserve"> entre a carga coactiva decorrente da medida adoptada e o peso específico do ganho de interesse público que com tal medida se visa alcançar». De outra forma, como se escreveu no Acórdão n.º 187/2001, de 2 de Maio, «trata-se […] de exigir que a intervenção, nos seus efeitos restritivos ou lesivos, se encontre numa relação “calibrada” </w:t>
      </w:r>
      <w:r w:rsidRPr="00B93191">
        <w:rPr>
          <w:rFonts w:ascii="Garamond" w:hAnsi="Garamond"/>
          <w:color w:val="auto"/>
          <w:sz w:val="24"/>
          <w:szCs w:val="24"/>
          <w:lang w:val="pt-PT"/>
        </w:rPr>
        <w:t>—</w:t>
      </w:r>
      <w:r w:rsidRPr="003520AF">
        <w:rPr>
          <w:rFonts w:ascii="Garamond" w:hAnsi="Garamond"/>
          <w:color w:val="auto"/>
          <w:sz w:val="24"/>
          <w:szCs w:val="24"/>
          <w:lang w:val="pt-PT"/>
        </w:rPr>
        <w:t xml:space="preserve"> de justa medida </w:t>
      </w:r>
      <w:r w:rsidRPr="00B93191">
        <w:rPr>
          <w:rFonts w:ascii="Garamond" w:hAnsi="Garamond"/>
          <w:color w:val="auto"/>
          <w:sz w:val="24"/>
          <w:szCs w:val="24"/>
          <w:lang w:val="pt-PT"/>
        </w:rPr>
        <w:t>—</w:t>
      </w:r>
      <w:r w:rsidRPr="003520AF">
        <w:rPr>
          <w:rFonts w:ascii="Garamond" w:hAnsi="Garamond"/>
          <w:color w:val="auto"/>
          <w:sz w:val="24"/>
          <w:szCs w:val="24"/>
          <w:lang w:val="pt-PT"/>
        </w:rPr>
        <w:t xml:space="preserve"> com os fins prosseguidos, o que exige uma ponderação, graduação e correspondência dos efeitos</w:t>
      </w:r>
      <w:r w:rsidRPr="003520AF">
        <w:rPr>
          <w:rFonts w:ascii="Garamond" w:hAnsi="Garamond"/>
          <w:i/>
          <w:color w:val="auto"/>
          <w:sz w:val="24"/>
          <w:szCs w:val="24"/>
          <w:lang w:val="pt-PT"/>
        </w:rPr>
        <w:t xml:space="preserve"> </w:t>
      </w:r>
      <w:r w:rsidRPr="003520AF">
        <w:rPr>
          <w:rFonts w:ascii="Garamond" w:hAnsi="Garamond"/>
          <w:color w:val="auto"/>
          <w:sz w:val="24"/>
          <w:szCs w:val="24"/>
          <w:lang w:val="pt-PT"/>
        </w:rPr>
        <w:t>e das medidas</w:t>
      </w:r>
      <w:r w:rsidRPr="003520AF">
        <w:rPr>
          <w:rFonts w:ascii="Garamond" w:hAnsi="Garamond"/>
          <w:i/>
          <w:color w:val="auto"/>
          <w:sz w:val="24"/>
          <w:szCs w:val="24"/>
          <w:lang w:val="pt-PT"/>
        </w:rPr>
        <w:t xml:space="preserve"> </w:t>
      </w:r>
      <w:r w:rsidRPr="003520AF">
        <w:rPr>
          <w:rFonts w:ascii="Garamond" w:hAnsi="Garamond"/>
          <w:color w:val="auto"/>
          <w:sz w:val="24"/>
          <w:szCs w:val="24"/>
          <w:lang w:val="pt-PT"/>
        </w:rPr>
        <w:t>possíveis».</w:t>
      </w:r>
    </w:p>
    <w:p w:rsidR="000E1A59" w:rsidRDefault="000E1A59" w:rsidP="002214EA">
      <w:pPr>
        <w:spacing w:after="0" w:line="360" w:lineRule="atLeast"/>
        <w:ind w:firstLine="720"/>
        <w:rPr>
          <w:rFonts w:ascii="Garamond" w:hAnsi="Garamond"/>
          <w:color w:val="auto"/>
          <w:sz w:val="24"/>
          <w:szCs w:val="24"/>
          <w:lang w:val="pt-PT"/>
        </w:rPr>
      </w:pPr>
    </w:p>
    <w:p w:rsidR="000E1A59" w:rsidRPr="003520AF" w:rsidRDefault="000E1A59" w:rsidP="002214EA">
      <w:pPr>
        <w:spacing w:after="0" w:line="360" w:lineRule="atLeast"/>
        <w:ind w:firstLine="720"/>
        <w:rPr>
          <w:rFonts w:ascii="Garamond" w:hAnsi="Garamond"/>
          <w:color w:val="auto"/>
          <w:sz w:val="24"/>
          <w:szCs w:val="24"/>
          <w:lang w:val="pt-PT"/>
        </w:rPr>
      </w:pPr>
      <w:r>
        <w:rPr>
          <w:rFonts w:ascii="Garamond" w:hAnsi="Garamond"/>
          <w:color w:val="auto"/>
          <w:sz w:val="24"/>
          <w:szCs w:val="24"/>
          <w:lang w:val="pt-PT"/>
        </w:rPr>
        <w:t xml:space="preserve">4.2. </w:t>
      </w:r>
      <w:r w:rsidRPr="007004CC">
        <w:rPr>
          <w:rFonts w:ascii="Garamond" w:hAnsi="Garamond"/>
          <w:color w:val="auto"/>
          <w:sz w:val="24"/>
          <w:szCs w:val="24"/>
          <w:lang w:val="pt-PT"/>
        </w:rPr>
        <w:t xml:space="preserve">Em segundo lugar, o Tribunal afirma, </w:t>
      </w:r>
      <w:r w:rsidRPr="007004CC">
        <w:rPr>
          <w:rFonts w:ascii="Garamond" w:hAnsi="Garamond"/>
          <w:i/>
          <w:color w:val="auto"/>
          <w:sz w:val="24"/>
          <w:szCs w:val="24"/>
          <w:lang w:val="pt-PT"/>
        </w:rPr>
        <w:t>doutrinariamente</w:t>
      </w:r>
      <w:r w:rsidRPr="007004CC">
        <w:rPr>
          <w:rFonts w:ascii="Garamond" w:hAnsi="Garamond"/>
          <w:color w:val="auto"/>
          <w:sz w:val="24"/>
          <w:szCs w:val="24"/>
          <w:lang w:val="pt-PT"/>
        </w:rPr>
        <w:t xml:space="preserve">, a existência de uma «ordem lógica de aplicação dos três subprincípios, que se devem relacionar entre si segundo uma </w:t>
      </w:r>
      <w:r w:rsidRPr="007004CC">
        <w:rPr>
          <w:rFonts w:ascii="Garamond" w:hAnsi="Garamond"/>
          <w:i/>
          <w:color w:val="auto"/>
          <w:sz w:val="24"/>
          <w:szCs w:val="24"/>
          <w:lang w:val="pt-PT"/>
        </w:rPr>
        <w:t>regra de precedência do mais abstracto perante o mais concreto</w:t>
      </w:r>
      <w:r w:rsidRPr="007004CC">
        <w:rPr>
          <w:rFonts w:ascii="Garamond" w:hAnsi="Garamond"/>
          <w:color w:val="auto"/>
          <w:sz w:val="24"/>
          <w:szCs w:val="24"/>
          <w:lang w:val="pt-PT"/>
        </w:rPr>
        <w:t>, ou mais próximo (pelo seu conteúdo) da necessária avaliação das circunstâncias específicas do caso da vida que se aprecia». Está</w:t>
      </w:r>
      <w:r>
        <w:rPr>
          <w:rFonts w:ascii="Garamond" w:hAnsi="Garamond"/>
          <w:color w:val="auto"/>
          <w:sz w:val="24"/>
          <w:szCs w:val="24"/>
          <w:lang w:val="pt-PT"/>
        </w:rPr>
        <w:t xml:space="preserve">, assim, em causa a «abordagem estruturada» que acima mencionámos acima </w:t>
      </w:r>
      <w:r w:rsidRPr="00320BB2">
        <w:rPr>
          <w:rFonts w:ascii="Garamond" w:hAnsi="Garamond"/>
          <w:color w:val="auto"/>
          <w:sz w:val="24"/>
          <w:szCs w:val="24"/>
          <w:lang w:val="pt-PT"/>
        </w:rPr>
        <w:t>(</w:t>
      </w:r>
      <w:r w:rsidRPr="00320BB2">
        <w:rPr>
          <w:rStyle w:val="FootnoteReference"/>
          <w:rFonts w:ascii="Garamond" w:hAnsi="Garamond"/>
          <w:color w:val="auto"/>
          <w:sz w:val="24"/>
          <w:szCs w:val="24"/>
        </w:rPr>
        <w:footnoteReference w:id="25"/>
      </w:r>
      <w:r w:rsidRPr="00320BB2">
        <w:rPr>
          <w:rFonts w:ascii="Garamond" w:hAnsi="Garamond"/>
          <w:color w:val="auto"/>
          <w:sz w:val="24"/>
          <w:szCs w:val="24"/>
          <w:lang w:val="pt-PT"/>
        </w:rPr>
        <w:t>)</w:t>
      </w:r>
      <w:r>
        <w:rPr>
          <w:rFonts w:ascii="Garamond" w:hAnsi="Garamond"/>
          <w:color w:val="auto"/>
          <w:sz w:val="24"/>
          <w:szCs w:val="24"/>
          <w:lang w:val="pt-PT"/>
        </w:rPr>
        <w:t xml:space="preserve"> </w:t>
      </w:r>
      <w:r w:rsidRPr="00320BB2">
        <w:rPr>
          <w:rFonts w:ascii="Garamond" w:hAnsi="Garamond"/>
          <w:color w:val="auto"/>
          <w:sz w:val="24"/>
          <w:szCs w:val="24"/>
          <w:lang w:val="pt-PT"/>
        </w:rPr>
        <w:t>(</w:t>
      </w:r>
      <w:r w:rsidRPr="00320BB2">
        <w:rPr>
          <w:rStyle w:val="FootnoteReference"/>
          <w:rFonts w:ascii="Garamond" w:hAnsi="Garamond"/>
          <w:color w:val="auto"/>
          <w:sz w:val="24"/>
          <w:szCs w:val="24"/>
        </w:rPr>
        <w:footnoteReference w:id="26"/>
      </w:r>
      <w:r w:rsidRPr="00320BB2">
        <w:rPr>
          <w:rFonts w:ascii="Garamond" w:hAnsi="Garamond"/>
          <w:color w:val="auto"/>
          <w:sz w:val="24"/>
          <w:szCs w:val="24"/>
          <w:lang w:val="pt-PT"/>
        </w:rPr>
        <w:t>)</w:t>
      </w:r>
      <w:r>
        <w:rPr>
          <w:rFonts w:ascii="Garamond" w:hAnsi="Garamond"/>
          <w:color w:val="auto"/>
          <w:sz w:val="24"/>
          <w:szCs w:val="24"/>
          <w:lang w:val="pt-PT"/>
        </w:rPr>
        <w:t>.</w:t>
      </w:r>
    </w:p>
    <w:p w:rsidR="000E1A59" w:rsidRDefault="000E1A59" w:rsidP="002214EA">
      <w:pPr>
        <w:spacing w:after="0" w:line="360" w:lineRule="atLeast"/>
        <w:ind w:firstLine="720"/>
        <w:rPr>
          <w:rFonts w:ascii="Garamond" w:hAnsi="Garamond"/>
          <w:color w:val="auto"/>
          <w:sz w:val="24"/>
          <w:szCs w:val="24"/>
          <w:lang w:val="pt-PT"/>
        </w:rPr>
      </w:pPr>
    </w:p>
    <w:p w:rsidR="000E1A59" w:rsidRDefault="000E1A59" w:rsidP="002214EA">
      <w:pPr>
        <w:spacing w:after="0" w:line="360" w:lineRule="atLeast"/>
        <w:ind w:firstLine="720"/>
        <w:rPr>
          <w:rFonts w:ascii="Garamond" w:hAnsi="Garamond"/>
          <w:i/>
          <w:color w:val="auto"/>
          <w:sz w:val="24"/>
          <w:szCs w:val="24"/>
          <w:lang w:val="pt-PT"/>
        </w:rPr>
      </w:pPr>
      <w:r>
        <w:rPr>
          <w:rFonts w:ascii="Garamond" w:hAnsi="Garamond"/>
          <w:color w:val="auto"/>
          <w:sz w:val="24"/>
          <w:szCs w:val="24"/>
          <w:lang w:val="pt-PT"/>
        </w:rPr>
        <w:t xml:space="preserve">4.3. </w:t>
      </w:r>
      <w:r w:rsidRPr="003D05D7">
        <w:rPr>
          <w:rFonts w:ascii="Garamond" w:hAnsi="Garamond"/>
          <w:b/>
          <w:color w:val="auto"/>
          <w:sz w:val="24"/>
          <w:szCs w:val="24"/>
          <w:lang w:val="pt-PT"/>
        </w:rPr>
        <w:t>Adequação</w:t>
      </w:r>
      <w:r>
        <w:rPr>
          <w:rFonts w:ascii="Garamond" w:hAnsi="Garamond"/>
          <w:color w:val="auto"/>
          <w:sz w:val="24"/>
          <w:szCs w:val="24"/>
          <w:lang w:val="pt-PT"/>
        </w:rPr>
        <w:t xml:space="preserve"> - e</w:t>
      </w:r>
      <w:r w:rsidRPr="003520AF">
        <w:rPr>
          <w:rFonts w:ascii="Garamond" w:hAnsi="Garamond"/>
          <w:color w:val="auto"/>
          <w:sz w:val="24"/>
          <w:szCs w:val="24"/>
          <w:lang w:val="pt-PT"/>
        </w:rPr>
        <w:t xml:space="preserve">xplica o Acórdão que «o </w:t>
      </w:r>
      <w:r w:rsidRPr="003520AF">
        <w:rPr>
          <w:rFonts w:ascii="Garamond" w:hAnsi="Garamond"/>
          <w:i/>
          <w:color w:val="auto"/>
          <w:sz w:val="24"/>
          <w:szCs w:val="24"/>
          <w:lang w:val="pt-PT"/>
        </w:rPr>
        <w:t xml:space="preserve">teste </w:t>
      </w:r>
      <w:r w:rsidRPr="003520AF">
        <w:rPr>
          <w:rFonts w:ascii="Garamond" w:hAnsi="Garamond"/>
          <w:color w:val="auto"/>
          <w:sz w:val="24"/>
          <w:szCs w:val="24"/>
          <w:lang w:val="pt-PT"/>
        </w:rPr>
        <w:t>da proporcionalidade inicia-se logicamente com o recurso ao subprincípio</w:t>
      </w:r>
      <w:r w:rsidRPr="003520AF">
        <w:rPr>
          <w:rFonts w:ascii="Garamond" w:hAnsi="Garamond"/>
          <w:i/>
          <w:color w:val="auto"/>
          <w:sz w:val="24"/>
          <w:szCs w:val="24"/>
          <w:lang w:val="pt-PT"/>
        </w:rPr>
        <w:t xml:space="preserve"> </w:t>
      </w:r>
      <w:r w:rsidRPr="003520AF">
        <w:rPr>
          <w:rFonts w:ascii="Garamond" w:hAnsi="Garamond"/>
          <w:color w:val="auto"/>
          <w:sz w:val="24"/>
          <w:szCs w:val="24"/>
          <w:lang w:val="pt-PT"/>
        </w:rPr>
        <w:t xml:space="preserve">da adequação». Neste subprincípio, «apenas se afere se um certo meio é, em abstracto e enquanto meio </w:t>
      </w:r>
      <w:r w:rsidRPr="003520AF">
        <w:rPr>
          <w:rFonts w:ascii="Garamond" w:hAnsi="Garamond"/>
          <w:i/>
          <w:color w:val="auto"/>
          <w:sz w:val="24"/>
          <w:szCs w:val="24"/>
          <w:lang w:val="pt-PT"/>
        </w:rPr>
        <w:t xml:space="preserve">típico, </w:t>
      </w:r>
      <w:r w:rsidRPr="003520AF">
        <w:rPr>
          <w:rFonts w:ascii="Garamond" w:hAnsi="Garamond"/>
          <w:color w:val="auto"/>
          <w:sz w:val="24"/>
          <w:szCs w:val="24"/>
          <w:lang w:val="pt-PT"/>
        </w:rPr>
        <w:t xml:space="preserve">idóneo ou apto para a realização de um certo fim». Caso o juízo de </w:t>
      </w:r>
      <w:r w:rsidRPr="003520AF">
        <w:rPr>
          <w:rFonts w:ascii="Garamond" w:hAnsi="Garamond"/>
          <w:i/>
          <w:color w:val="auto"/>
          <w:sz w:val="24"/>
          <w:szCs w:val="24"/>
          <w:lang w:val="pt-PT"/>
        </w:rPr>
        <w:t>adequação</w:t>
      </w:r>
      <w:r w:rsidRPr="003520AF">
        <w:rPr>
          <w:rFonts w:ascii="Garamond" w:hAnsi="Garamond"/>
          <w:color w:val="auto"/>
          <w:sz w:val="24"/>
          <w:szCs w:val="24"/>
          <w:lang w:val="pt-PT"/>
        </w:rPr>
        <w:t xml:space="preserve"> seja negativo, fica prejudicada «logicamente a necessidade de aplicação dos outros </w:t>
      </w:r>
      <w:r w:rsidRPr="003520AF">
        <w:rPr>
          <w:rFonts w:ascii="Garamond" w:hAnsi="Garamond"/>
          <w:i/>
          <w:color w:val="auto"/>
          <w:sz w:val="24"/>
          <w:szCs w:val="24"/>
          <w:lang w:val="pt-PT"/>
        </w:rPr>
        <w:t xml:space="preserve">testes». </w:t>
      </w:r>
    </w:p>
    <w:p w:rsidR="000E1A59" w:rsidRDefault="000E1A59" w:rsidP="002214EA">
      <w:pPr>
        <w:spacing w:after="0" w:line="360" w:lineRule="atLeast"/>
        <w:ind w:firstLine="720"/>
        <w:rPr>
          <w:rFonts w:ascii="Garamond" w:hAnsi="Garamond"/>
          <w:color w:val="auto"/>
          <w:sz w:val="24"/>
          <w:szCs w:val="24"/>
          <w:lang w:val="pt-PT"/>
        </w:rPr>
      </w:pPr>
    </w:p>
    <w:p w:rsidR="000E1A59" w:rsidRPr="003520AF" w:rsidRDefault="000E1A59" w:rsidP="002214EA">
      <w:pPr>
        <w:spacing w:after="0" w:line="360" w:lineRule="atLeast"/>
        <w:ind w:firstLine="720"/>
        <w:rPr>
          <w:rFonts w:ascii="Garamond" w:hAnsi="Garamond"/>
          <w:color w:val="auto"/>
          <w:sz w:val="24"/>
          <w:szCs w:val="24"/>
          <w:lang w:val="pt-PT"/>
        </w:rPr>
      </w:pPr>
      <w:r>
        <w:rPr>
          <w:rFonts w:ascii="Garamond" w:hAnsi="Garamond"/>
          <w:color w:val="auto"/>
          <w:sz w:val="24"/>
          <w:szCs w:val="24"/>
          <w:lang w:val="pt-PT"/>
        </w:rPr>
        <w:t xml:space="preserve">4.4. </w:t>
      </w:r>
      <w:r>
        <w:rPr>
          <w:rFonts w:ascii="Garamond" w:hAnsi="Garamond"/>
          <w:b/>
          <w:color w:val="auto"/>
          <w:sz w:val="24"/>
          <w:szCs w:val="24"/>
          <w:lang w:val="pt-PT"/>
        </w:rPr>
        <w:t>Necessidade</w:t>
      </w:r>
      <w:r>
        <w:rPr>
          <w:rFonts w:ascii="Garamond" w:hAnsi="Garamond"/>
          <w:color w:val="auto"/>
          <w:sz w:val="24"/>
          <w:szCs w:val="24"/>
          <w:lang w:val="pt-PT"/>
        </w:rPr>
        <w:t xml:space="preserve"> - p</w:t>
      </w:r>
      <w:r w:rsidRPr="003520AF">
        <w:rPr>
          <w:rFonts w:ascii="Garamond" w:hAnsi="Garamond"/>
          <w:color w:val="auto"/>
          <w:sz w:val="24"/>
          <w:szCs w:val="24"/>
          <w:lang w:val="pt-PT"/>
        </w:rPr>
        <w:t xml:space="preserve">orém, se a análise entre a adequação do meio ao fim for positiva, «haverá em seguida que recorrer ao exame da </w:t>
      </w:r>
      <w:r w:rsidRPr="003520AF">
        <w:rPr>
          <w:rFonts w:ascii="Garamond" w:hAnsi="Garamond"/>
          <w:i/>
          <w:color w:val="auto"/>
          <w:sz w:val="24"/>
          <w:szCs w:val="24"/>
          <w:lang w:val="pt-PT"/>
        </w:rPr>
        <w:t xml:space="preserve">exigibilidade, </w:t>
      </w:r>
      <w:r w:rsidRPr="003520AF">
        <w:rPr>
          <w:rFonts w:ascii="Garamond" w:hAnsi="Garamond"/>
          <w:color w:val="auto"/>
          <w:sz w:val="24"/>
          <w:szCs w:val="24"/>
          <w:lang w:val="pt-PT"/>
        </w:rPr>
        <w:t xml:space="preserve">também conhecido por </w:t>
      </w:r>
      <w:r w:rsidRPr="003520AF">
        <w:rPr>
          <w:rFonts w:ascii="Garamond" w:hAnsi="Garamond"/>
          <w:i/>
          <w:color w:val="auto"/>
          <w:sz w:val="24"/>
          <w:szCs w:val="24"/>
          <w:lang w:val="pt-PT"/>
        </w:rPr>
        <w:t xml:space="preserve">necessidade de escolha do meio mais benigno». </w:t>
      </w:r>
      <w:r w:rsidRPr="003520AF">
        <w:rPr>
          <w:rFonts w:ascii="Garamond" w:hAnsi="Garamond"/>
          <w:color w:val="auto"/>
          <w:sz w:val="24"/>
          <w:szCs w:val="24"/>
          <w:lang w:val="pt-PT"/>
        </w:rPr>
        <w:t xml:space="preserve">Este </w:t>
      </w:r>
      <w:r w:rsidRPr="003520AF">
        <w:rPr>
          <w:rFonts w:ascii="Garamond" w:hAnsi="Garamond"/>
          <w:i/>
          <w:color w:val="auto"/>
          <w:sz w:val="24"/>
          <w:szCs w:val="24"/>
          <w:lang w:val="pt-PT"/>
        </w:rPr>
        <w:t>test</w:t>
      </w:r>
      <w:r w:rsidRPr="003520AF">
        <w:rPr>
          <w:rFonts w:ascii="Garamond" w:hAnsi="Garamond"/>
          <w:color w:val="auto"/>
          <w:sz w:val="24"/>
          <w:szCs w:val="24"/>
          <w:lang w:val="pt-PT"/>
        </w:rPr>
        <w:t xml:space="preserve"> fica, digamos</w:t>
      </w:r>
      <w:r>
        <w:rPr>
          <w:rFonts w:ascii="Garamond" w:hAnsi="Garamond"/>
          <w:color w:val="auto"/>
          <w:sz w:val="24"/>
          <w:szCs w:val="24"/>
          <w:lang w:val="pt-PT"/>
        </w:rPr>
        <w:t>,</w:t>
      </w:r>
      <w:r w:rsidRPr="003520AF">
        <w:rPr>
          <w:rFonts w:ascii="Garamond" w:hAnsi="Garamond"/>
          <w:color w:val="auto"/>
          <w:sz w:val="24"/>
          <w:szCs w:val="24"/>
          <w:lang w:val="pt-PT"/>
        </w:rPr>
        <w:t xml:space="preserve"> a meio caminho entre o abstracto e o concreto, </w:t>
      </w:r>
      <w:r>
        <w:rPr>
          <w:rFonts w:ascii="Garamond" w:hAnsi="Garamond"/>
          <w:color w:val="auto"/>
          <w:sz w:val="24"/>
          <w:szCs w:val="24"/>
          <w:lang w:val="pt-PT"/>
        </w:rPr>
        <w:t>sustenta-se numa ideia de racionalidade e é a base de qualquer análise de proporcionalidade. É</w:t>
      </w:r>
      <w:r w:rsidRPr="003520AF">
        <w:rPr>
          <w:rFonts w:ascii="Garamond" w:hAnsi="Garamond"/>
          <w:color w:val="auto"/>
          <w:sz w:val="24"/>
          <w:szCs w:val="24"/>
          <w:lang w:val="pt-PT"/>
        </w:rPr>
        <w:t xml:space="preserve"> um «exame mais </w:t>
      </w:r>
      <w:r w:rsidRPr="003520AF">
        <w:rPr>
          <w:rFonts w:ascii="Garamond" w:hAnsi="Garamond"/>
          <w:i/>
          <w:color w:val="auto"/>
          <w:sz w:val="24"/>
          <w:szCs w:val="24"/>
          <w:lang w:val="pt-PT"/>
        </w:rPr>
        <w:t>fino</w:t>
      </w:r>
      <w:r w:rsidRPr="003520AF">
        <w:rPr>
          <w:rFonts w:ascii="Garamond" w:hAnsi="Garamond"/>
          <w:color w:val="auto"/>
          <w:sz w:val="24"/>
          <w:szCs w:val="24"/>
          <w:lang w:val="pt-PT"/>
        </w:rPr>
        <w:t xml:space="preserve">», através do «qual se avalia a existência </w:t>
      </w:r>
      <w:r w:rsidRPr="00B93191">
        <w:rPr>
          <w:rFonts w:ascii="Garamond" w:hAnsi="Garamond"/>
          <w:color w:val="auto"/>
          <w:sz w:val="24"/>
          <w:szCs w:val="24"/>
          <w:lang w:val="pt-PT"/>
        </w:rPr>
        <w:t>—</w:t>
      </w:r>
      <w:r w:rsidRPr="003520AF">
        <w:rPr>
          <w:rFonts w:ascii="Garamond" w:hAnsi="Garamond"/>
          <w:color w:val="auto"/>
          <w:sz w:val="24"/>
          <w:szCs w:val="24"/>
          <w:lang w:val="pt-PT"/>
        </w:rPr>
        <w:t xml:space="preserve"> ou inexistência </w:t>
      </w:r>
      <w:r w:rsidRPr="00B93191">
        <w:rPr>
          <w:rFonts w:ascii="Garamond" w:hAnsi="Garamond"/>
          <w:color w:val="auto"/>
          <w:sz w:val="24"/>
          <w:szCs w:val="24"/>
          <w:lang w:val="pt-PT"/>
        </w:rPr>
        <w:t>—</w:t>
      </w:r>
      <w:r w:rsidRPr="003520AF">
        <w:rPr>
          <w:rFonts w:ascii="Garamond" w:hAnsi="Garamond"/>
          <w:color w:val="auto"/>
          <w:sz w:val="24"/>
          <w:szCs w:val="24"/>
          <w:lang w:val="pt-PT"/>
        </w:rPr>
        <w:t xml:space="preserve">, na situação da vida, de várias possibilidades (igualmente idóneas) para a realização do fim pretendido, de forma a que se saiba se, </w:t>
      </w:r>
      <w:r w:rsidRPr="003520AF">
        <w:rPr>
          <w:rFonts w:ascii="Garamond" w:hAnsi="Garamond"/>
          <w:i/>
          <w:color w:val="auto"/>
          <w:sz w:val="24"/>
          <w:szCs w:val="24"/>
          <w:lang w:val="pt-PT"/>
        </w:rPr>
        <w:t xml:space="preserve">in casu, </w:t>
      </w:r>
      <w:r w:rsidRPr="003520AF">
        <w:rPr>
          <w:rFonts w:ascii="Garamond" w:hAnsi="Garamond"/>
          <w:color w:val="auto"/>
          <w:sz w:val="24"/>
          <w:szCs w:val="24"/>
          <w:lang w:val="pt-PT"/>
        </w:rPr>
        <w:t>foi escolhida, como devia, a possibilidade mais benigna ou menos onerosa para os particulares»</w:t>
      </w:r>
      <w:r>
        <w:rPr>
          <w:rFonts w:ascii="Garamond" w:hAnsi="Garamond"/>
          <w:color w:val="auto"/>
          <w:sz w:val="24"/>
          <w:szCs w:val="24"/>
          <w:lang w:val="pt-PT"/>
        </w:rPr>
        <w:t xml:space="preserve"> (</w:t>
      </w:r>
      <w:r>
        <w:rPr>
          <w:rStyle w:val="FootnoteReference"/>
          <w:rFonts w:ascii="Garamond" w:hAnsi="Garamond"/>
          <w:color w:val="auto"/>
          <w:sz w:val="24"/>
          <w:szCs w:val="24"/>
          <w:lang w:val="pt-PT"/>
        </w:rPr>
        <w:footnoteReference w:id="27"/>
      </w:r>
      <w:r>
        <w:rPr>
          <w:rFonts w:ascii="Garamond" w:hAnsi="Garamond"/>
          <w:color w:val="auto"/>
          <w:sz w:val="24"/>
          <w:szCs w:val="24"/>
          <w:lang w:val="pt-PT"/>
        </w:rPr>
        <w:t xml:space="preserve">) </w:t>
      </w:r>
      <w:r w:rsidRPr="00B93191">
        <w:rPr>
          <w:rFonts w:ascii="Garamond" w:hAnsi="Garamond"/>
          <w:color w:val="auto"/>
          <w:sz w:val="24"/>
          <w:szCs w:val="24"/>
          <w:lang w:val="pt-PT"/>
        </w:rPr>
        <w:t>—</w:t>
      </w:r>
      <w:r>
        <w:rPr>
          <w:rFonts w:ascii="Garamond" w:hAnsi="Garamond"/>
          <w:color w:val="auto"/>
          <w:sz w:val="24"/>
          <w:szCs w:val="24"/>
          <w:lang w:val="pt-PT"/>
        </w:rPr>
        <w:t xml:space="preserve"> está aqui em causa, portanto, uma ideia de </w:t>
      </w:r>
      <w:r w:rsidRPr="009F5CC6">
        <w:rPr>
          <w:rFonts w:ascii="Garamond" w:hAnsi="Garamond"/>
          <w:i/>
          <w:color w:val="auto"/>
          <w:sz w:val="24"/>
          <w:szCs w:val="24"/>
          <w:lang w:val="pt-PT"/>
        </w:rPr>
        <w:t>eficiência</w:t>
      </w:r>
      <w:r w:rsidRPr="003520AF">
        <w:rPr>
          <w:rFonts w:ascii="Garamond" w:hAnsi="Garamond"/>
          <w:color w:val="auto"/>
          <w:sz w:val="24"/>
          <w:szCs w:val="24"/>
          <w:lang w:val="pt-PT"/>
        </w:rPr>
        <w:t xml:space="preserve">. Se concluirmos que as medidas a adoptar, embora </w:t>
      </w:r>
      <w:r w:rsidRPr="003520AF">
        <w:rPr>
          <w:rFonts w:ascii="Garamond" w:hAnsi="Garamond"/>
          <w:i/>
          <w:color w:val="auto"/>
          <w:sz w:val="24"/>
          <w:szCs w:val="24"/>
          <w:lang w:val="pt-PT"/>
        </w:rPr>
        <w:t>adequadas</w:t>
      </w:r>
      <w:r w:rsidRPr="003520AF">
        <w:rPr>
          <w:rFonts w:ascii="Garamond" w:hAnsi="Garamond"/>
          <w:color w:val="auto"/>
          <w:sz w:val="24"/>
          <w:szCs w:val="24"/>
          <w:lang w:val="pt-PT"/>
        </w:rPr>
        <w:t>, não se revelem «</w:t>
      </w:r>
      <w:r w:rsidRPr="003520AF">
        <w:rPr>
          <w:rFonts w:ascii="Garamond" w:hAnsi="Garamond"/>
          <w:i/>
          <w:color w:val="auto"/>
          <w:sz w:val="24"/>
          <w:szCs w:val="24"/>
          <w:lang w:val="pt-PT"/>
        </w:rPr>
        <w:t xml:space="preserve">necessárias </w:t>
      </w:r>
      <w:r w:rsidRPr="003520AF">
        <w:rPr>
          <w:rFonts w:ascii="Garamond" w:hAnsi="Garamond"/>
          <w:color w:val="auto"/>
          <w:sz w:val="24"/>
          <w:szCs w:val="24"/>
          <w:lang w:val="pt-PT"/>
        </w:rPr>
        <w:t xml:space="preserve">ou </w:t>
      </w:r>
      <w:r w:rsidRPr="003520AF">
        <w:rPr>
          <w:rFonts w:ascii="Garamond" w:hAnsi="Garamond"/>
          <w:i/>
          <w:color w:val="auto"/>
          <w:sz w:val="24"/>
          <w:szCs w:val="24"/>
          <w:lang w:val="pt-PT"/>
        </w:rPr>
        <w:t>exigíveis</w:t>
      </w:r>
      <w:r w:rsidRPr="003520AF">
        <w:rPr>
          <w:rFonts w:ascii="Garamond" w:hAnsi="Garamond"/>
          <w:color w:val="auto"/>
          <w:sz w:val="24"/>
          <w:szCs w:val="24"/>
          <w:lang w:val="pt-PT"/>
        </w:rPr>
        <w:t xml:space="preserve">, fica logicamente prejudicada a inevitabilidade de recurso ao último </w:t>
      </w:r>
      <w:r w:rsidRPr="003520AF">
        <w:rPr>
          <w:rFonts w:ascii="Garamond" w:hAnsi="Garamond"/>
          <w:i/>
          <w:color w:val="auto"/>
          <w:sz w:val="24"/>
          <w:szCs w:val="24"/>
          <w:lang w:val="pt-PT"/>
        </w:rPr>
        <w:t xml:space="preserve">teste </w:t>
      </w:r>
      <w:r w:rsidRPr="003520AF">
        <w:rPr>
          <w:rFonts w:ascii="Garamond" w:hAnsi="Garamond"/>
          <w:color w:val="auto"/>
          <w:sz w:val="24"/>
          <w:szCs w:val="24"/>
          <w:lang w:val="pt-PT"/>
        </w:rPr>
        <w:t xml:space="preserve">de proporcionalidade». Concluímos, por nossa parte, que o mesmo acontece com a </w:t>
      </w:r>
      <w:r w:rsidRPr="003520AF">
        <w:rPr>
          <w:rFonts w:ascii="Garamond" w:hAnsi="Garamond"/>
          <w:i/>
          <w:color w:val="auto"/>
          <w:sz w:val="24"/>
          <w:szCs w:val="24"/>
          <w:lang w:val="pt-PT"/>
        </w:rPr>
        <w:t>proporcionalidade estrita</w:t>
      </w:r>
      <w:r w:rsidRPr="003520AF">
        <w:rPr>
          <w:rFonts w:ascii="Garamond" w:hAnsi="Garamond"/>
          <w:color w:val="auto"/>
          <w:sz w:val="24"/>
          <w:szCs w:val="24"/>
          <w:lang w:val="pt-PT"/>
        </w:rPr>
        <w:t xml:space="preserve"> e a </w:t>
      </w:r>
      <w:r w:rsidRPr="003520AF">
        <w:rPr>
          <w:rFonts w:ascii="Garamond" w:hAnsi="Garamond"/>
          <w:i/>
          <w:color w:val="auto"/>
          <w:sz w:val="24"/>
          <w:szCs w:val="24"/>
          <w:lang w:val="pt-PT"/>
        </w:rPr>
        <w:t>razoabilidade</w:t>
      </w:r>
      <w:r w:rsidRPr="003520AF">
        <w:rPr>
          <w:rFonts w:ascii="Garamond" w:hAnsi="Garamond"/>
          <w:color w:val="auto"/>
          <w:sz w:val="24"/>
          <w:szCs w:val="24"/>
          <w:lang w:val="pt-PT"/>
        </w:rPr>
        <w:t xml:space="preserve">. Isto é, só chegaremos à análise do </w:t>
      </w:r>
      <w:r w:rsidRPr="003520AF">
        <w:rPr>
          <w:rFonts w:ascii="Garamond" w:hAnsi="Garamond"/>
          <w:i/>
          <w:color w:val="auto"/>
          <w:sz w:val="24"/>
          <w:szCs w:val="24"/>
          <w:lang w:val="pt-PT"/>
        </w:rPr>
        <w:t>test</w:t>
      </w:r>
      <w:r w:rsidRPr="003520AF">
        <w:rPr>
          <w:rFonts w:ascii="Garamond" w:hAnsi="Garamond"/>
          <w:color w:val="auto"/>
          <w:sz w:val="24"/>
          <w:szCs w:val="24"/>
          <w:lang w:val="pt-PT"/>
        </w:rPr>
        <w:t xml:space="preserve"> de razoabilidade caso as medidas pretendidas se afigurem proporcionais</w:t>
      </w:r>
      <w:r>
        <w:rPr>
          <w:rFonts w:ascii="Garamond" w:hAnsi="Garamond"/>
          <w:color w:val="auto"/>
          <w:sz w:val="24"/>
          <w:szCs w:val="24"/>
          <w:lang w:val="pt-PT"/>
        </w:rPr>
        <w:t xml:space="preserve"> (</w:t>
      </w:r>
      <w:r>
        <w:rPr>
          <w:rStyle w:val="FootnoteReference"/>
          <w:rFonts w:ascii="Garamond" w:hAnsi="Garamond"/>
          <w:color w:val="auto"/>
          <w:sz w:val="24"/>
          <w:szCs w:val="24"/>
          <w:lang w:val="pt-PT"/>
        </w:rPr>
        <w:footnoteReference w:id="28"/>
      </w:r>
      <w:r>
        <w:rPr>
          <w:rFonts w:ascii="Garamond" w:hAnsi="Garamond"/>
          <w:color w:val="auto"/>
          <w:sz w:val="24"/>
          <w:szCs w:val="24"/>
          <w:lang w:val="pt-PT"/>
        </w:rPr>
        <w:t>)</w:t>
      </w:r>
      <w:r w:rsidRPr="003520AF">
        <w:rPr>
          <w:rFonts w:ascii="Garamond" w:hAnsi="Garamond"/>
          <w:color w:val="auto"/>
          <w:sz w:val="24"/>
          <w:szCs w:val="24"/>
          <w:lang w:val="pt-PT"/>
        </w:rPr>
        <w:t>.</w:t>
      </w:r>
    </w:p>
    <w:p w:rsidR="000E1A59" w:rsidRDefault="000E1A59" w:rsidP="002214EA">
      <w:pPr>
        <w:spacing w:after="0" w:line="360" w:lineRule="atLeast"/>
        <w:ind w:firstLine="720"/>
        <w:rPr>
          <w:rFonts w:ascii="Garamond" w:hAnsi="Garamond"/>
          <w:color w:val="auto"/>
          <w:sz w:val="24"/>
          <w:szCs w:val="24"/>
          <w:lang w:val="pt-PT"/>
        </w:rPr>
      </w:pPr>
    </w:p>
    <w:p w:rsidR="000E1A59" w:rsidRDefault="000E1A59" w:rsidP="002214EA">
      <w:pPr>
        <w:spacing w:after="0" w:line="360" w:lineRule="atLeast"/>
        <w:ind w:firstLine="720"/>
        <w:rPr>
          <w:rFonts w:ascii="Garamond" w:hAnsi="Garamond"/>
          <w:color w:val="auto"/>
          <w:sz w:val="24"/>
          <w:szCs w:val="24"/>
          <w:lang w:val="pt-PT"/>
        </w:rPr>
      </w:pPr>
      <w:r>
        <w:rPr>
          <w:rFonts w:ascii="Garamond" w:hAnsi="Garamond"/>
          <w:color w:val="auto"/>
          <w:sz w:val="24"/>
          <w:szCs w:val="24"/>
          <w:lang w:val="pt-PT"/>
        </w:rPr>
        <w:t xml:space="preserve">4.5. </w:t>
      </w:r>
      <w:r>
        <w:rPr>
          <w:rFonts w:ascii="Garamond" w:hAnsi="Garamond"/>
          <w:b/>
          <w:color w:val="auto"/>
          <w:sz w:val="24"/>
          <w:szCs w:val="24"/>
          <w:lang w:val="pt-PT"/>
        </w:rPr>
        <w:t>Proporcionalidade em sentido estrito</w:t>
      </w:r>
      <w:r>
        <w:rPr>
          <w:rFonts w:ascii="Garamond" w:hAnsi="Garamond"/>
          <w:color w:val="auto"/>
          <w:sz w:val="24"/>
          <w:szCs w:val="24"/>
          <w:lang w:val="pt-PT"/>
        </w:rPr>
        <w:t xml:space="preserve"> - e</w:t>
      </w:r>
      <w:r w:rsidRPr="003520AF">
        <w:rPr>
          <w:rFonts w:ascii="Garamond" w:hAnsi="Garamond"/>
          <w:color w:val="auto"/>
          <w:sz w:val="24"/>
          <w:szCs w:val="24"/>
          <w:lang w:val="pt-PT"/>
        </w:rPr>
        <w:t xml:space="preserve">m terceiro e último lugar, </w:t>
      </w:r>
      <w:r>
        <w:rPr>
          <w:rFonts w:ascii="Garamond" w:hAnsi="Garamond"/>
          <w:color w:val="auto"/>
          <w:sz w:val="24"/>
          <w:szCs w:val="24"/>
          <w:lang w:val="pt-PT"/>
        </w:rPr>
        <w:t xml:space="preserve">e mesmo que os poderes públicos tenham optado pelo meio menos restritivo, há que analisar a proporcionalidade em sentido estrito da medida estatal. Este é, muito provavelmente, o </w:t>
      </w:r>
      <w:r w:rsidRPr="00774020">
        <w:rPr>
          <w:rFonts w:ascii="Garamond" w:hAnsi="Garamond"/>
          <w:i/>
          <w:color w:val="auto"/>
          <w:sz w:val="24"/>
          <w:szCs w:val="24"/>
          <w:lang w:val="pt-PT"/>
        </w:rPr>
        <w:t>test</w:t>
      </w:r>
      <w:r>
        <w:rPr>
          <w:rFonts w:ascii="Garamond" w:hAnsi="Garamond"/>
          <w:color w:val="auto"/>
          <w:sz w:val="24"/>
          <w:szCs w:val="24"/>
          <w:lang w:val="pt-PT"/>
        </w:rPr>
        <w:t xml:space="preserve"> mais delicado, mas também o mais importante, porque é no seu âmbito que se detectam as inconstitucionalidades mais dissimuladas. Requer-se aqui a existência de uma “relação de proporcionalidade” entre «os benefícios ganhos com o preenchimento do propósito e do dano causado ao direito fundamental para prosseguir aquele propósito». Ou seja, este subprincípio pressupõe uma ponderação entre os benefícios para o objectivo pretendido e o dano sobre o direito restringido pelo meio seleccionado pelo Estado. </w:t>
      </w:r>
    </w:p>
    <w:p w:rsidR="000E1A59" w:rsidRDefault="000E1A59" w:rsidP="002214EA">
      <w:pPr>
        <w:spacing w:after="0" w:line="360" w:lineRule="atLeast"/>
        <w:ind w:firstLine="720"/>
        <w:rPr>
          <w:rFonts w:ascii="Garamond" w:hAnsi="Garamond"/>
          <w:color w:val="auto"/>
          <w:sz w:val="24"/>
          <w:szCs w:val="24"/>
          <w:lang w:val="pt-PT"/>
        </w:rPr>
      </w:pPr>
    </w:p>
    <w:p w:rsidR="000E1A59" w:rsidRPr="009D5D7E" w:rsidRDefault="000E1A59" w:rsidP="009D5D7E">
      <w:pPr>
        <w:pStyle w:val="ListParagraph"/>
        <w:numPr>
          <w:ilvl w:val="0"/>
          <w:numId w:val="2"/>
        </w:numPr>
        <w:tabs>
          <w:tab w:val="left" w:pos="1134"/>
        </w:tabs>
        <w:spacing w:after="0" w:line="360" w:lineRule="atLeast"/>
        <w:ind w:left="0" w:firstLine="709"/>
        <w:rPr>
          <w:rFonts w:ascii="Garamond" w:hAnsi="Garamond"/>
          <w:i/>
          <w:color w:val="auto"/>
          <w:sz w:val="24"/>
          <w:szCs w:val="24"/>
          <w:lang w:val="pt-PT"/>
        </w:rPr>
      </w:pPr>
      <w:r w:rsidRPr="009D5D7E">
        <w:rPr>
          <w:rFonts w:ascii="Garamond" w:hAnsi="Garamond"/>
          <w:color w:val="auto"/>
          <w:sz w:val="24"/>
          <w:szCs w:val="24"/>
          <w:lang w:val="pt-PT"/>
        </w:rPr>
        <w:t xml:space="preserve">O Tribunal menciona ainda «a particular </w:t>
      </w:r>
      <w:r w:rsidRPr="009D5D7E">
        <w:rPr>
          <w:rFonts w:ascii="Garamond" w:hAnsi="Garamond"/>
          <w:i/>
          <w:color w:val="auto"/>
          <w:sz w:val="24"/>
          <w:szCs w:val="24"/>
          <w:lang w:val="pt-PT"/>
        </w:rPr>
        <w:t xml:space="preserve">dimensão </w:t>
      </w:r>
      <w:r w:rsidRPr="009D5D7E">
        <w:rPr>
          <w:rFonts w:ascii="Garamond" w:hAnsi="Garamond"/>
          <w:color w:val="auto"/>
          <w:sz w:val="24"/>
          <w:szCs w:val="24"/>
          <w:lang w:val="pt-PT"/>
        </w:rPr>
        <w:t xml:space="preserve">que não pode deixar de ter o juízo de proporcionalidade (na sua acepção ampla), quando aplicado às decisões do legislador». Partindo do pressuposto que este princípio «vale, em Estado de Direito, para as acções de todos os poderes públicos», ou seja, aplica-se «tanto aos actos da função administrativa quanto aos actos da função legislativa», não podendo o Estado, em nenhum dos casos, «empregar meios que se revelem inadequados, desnecessários ou não ‘proporcionais’ face aos fins que pretende prosseguir», bem como ao próprio poder judicial. Porém, não deixa de relembrar «que o poder legislativo se distingue do poder administrativo precisamente pela </w:t>
      </w:r>
      <w:r w:rsidRPr="009D5D7E">
        <w:rPr>
          <w:rFonts w:ascii="Garamond" w:hAnsi="Garamond"/>
          <w:i/>
          <w:color w:val="auto"/>
          <w:sz w:val="24"/>
          <w:szCs w:val="24"/>
          <w:lang w:val="pt-PT"/>
        </w:rPr>
        <w:t xml:space="preserve">liberdade </w:t>
      </w:r>
      <w:r w:rsidRPr="009D5D7E">
        <w:rPr>
          <w:rFonts w:ascii="Garamond" w:hAnsi="Garamond"/>
          <w:color w:val="auto"/>
          <w:sz w:val="24"/>
          <w:szCs w:val="24"/>
          <w:lang w:val="pt-PT"/>
        </w:rPr>
        <w:t xml:space="preserve">que tem para, </w:t>
      </w:r>
      <w:r w:rsidRPr="009D5D7E">
        <w:rPr>
          <w:rFonts w:ascii="Garamond" w:hAnsi="Garamond"/>
          <w:i/>
          <w:color w:val="auto"/>
          <w:sz w:val="24"/>
          <w:szCs w:val="24"/>
          <w:lang w:val="pt-PT"/>
        </w:rPr>
        <w:t xml:space="preserve">no quadro da Constituição, </w:t>
      </w:r>
      <w:r w:rsidRPr="009D5D7E">
        <w:rPr>
          <w:rFonts w:ascii="Garamond" w:hAnsi="Garamond"/>
          <w:color w:val="auto"/>
          <w:sz w:val="24"/>
          <w:szCs w:val="24"/>
          <w:lang w:val="pt-PT"/>
        </w:rPr>
        <w:t xml:space="preserve">eleger as finalidades que hão-de orientar as suas escolhas: disto mesmo aliás se fala, quando se fala em </w:t>
      </w:r>
      <w:r w:rsidRPr="009D5D7E">
        <w:rPr>
          <w:rFonts w:ascii="Garamond" w:hAnsi="Garamond"/>
          <w:i/>
          <w:color w:val="auto"/>
          <w:sz w:val="24"/>
          <w:szCs w:val="24"/>
          <w:lang w:val="pt-PT"/>
        </w:rPr>
        <w:t>liberdade de conformação do legislador</w:t>
      </w:r>
      <w:r w:rsidRPr="009D5D7E">
        <w:rPr>
          <w:rFonts w:ascii="Garamond" w:hAnsi="Garamond"/>
          <w:color w:val="auto"/>
          <w:sz w:val="24"/>
          <w:szCs w:val="24"/>
          <w:lang w:val="pt-PT"/>
        </w:rPr>
        <w:t>»</w:t>
      </w:r>
      <w:r w:rsidRPr="009D5D7E">
        <w:rPr>
          <w:rFonts w:ascii="Garamond" w:hAnsi="Garamond"/>
          <w:i/>
          <w:color w:val="auto"/>
          <w:sz w:val="24"/>
          <w:szCs w:val="24"/>
          <w:lang w:val="pt-PT"/>
        </w:rPr>
        <w:t xml:space="preserve">. </w:t>
      </w:r>
      <w:r w:rsidRPr="009D5D7E">
        <w:rPr>
          <w:rFonts w:ascii="Garamond" w:hAnsi="Garamond"/>
          <w:color w:val="auto"/>
          <w:sz w:val="24"/>
          <w:szCs w:val="24"/>
          <w:lang w:val="pt-PT"/>
        </w:rPr>
        <w:t xml:space="preserve">Assim, afirma, decorre daqui «que o juízo de invalidade de uma certa medida legislativa, com fundamento em inobservância de qualquer um dos </w:t>
      </w:r>
      <w:r w:rsidRPr="009D5D7E">
        <w:rPr>
          <w:rFonts w:ascii="Garamond" w:hAnsi="Garamond"/>
          <w:i/>
          <w:color w:val="auto"/>
          <w:sz w:val="24"/>
          <w:szCs w:val="24"/>
          <w:lang w:val="pt-PT"/>
        </w:rPr>
        <w:t xml:space="preserve">testes </w:t>
      </w:r>
      <w:r w:rsidRPr="009D5D7E">
        <w:rPr>
          <w:rFonts w:ascii="Garamond" w:hAnsi="Garamond"/>
          <w:color w:val="auto"/>
          <w:sz w:val="24"/>
          <w:szCs w:val="24"/>
          <w:lang w:val="pt-PT"/>
        </w:rPr>
        <w:t xml:space="preserve">que compõem a proporcionalidade, se há-de estribar sempre — como se disse no Acórdão n.º 187/2001 — em </w:t>
      </w:r>
      <w:r w:rsidRPr="009D5D7E">
        <w:rPr>
          <w:rFonts w:ascii="Garamond" w:hAnsi="Garamond"/>
          <w:i/>
          <w:color w:val="auto"/>
          <w:sz w:val="24"/>
          <w:szCs w:val="24"/>
          <w:lang w:val="pt-PT"/>
        </w:rPr>
        <w:t xml:space="preserve">manifesto incumprimento, </w:t>
      </w:r>
      <w:r w:rsidRPr="009D5D7E">
        <w:rPr>
          <w:rFonts w:ascii="Garamond" w:hAnsi="Garamond"/>
          <w:color w:val="auto"/>
          <w:sz w:val="24"/>
          <w:szCs w:val="24"/>
          <w:lang w:val="pt-PT"/>
        </w:rPr>
        <w:t xml:space="preserve">por parte do legislador, dos deveres que sobre ele impendem por força do princípio constitucional da </w:t>
      </w:r>
      <w:r w:rsidRPr="009D5D7E">
        <w:rPr>
          <w:rFonts w:ascii="Garamond" w:hAnsi="Garamond"/>
          <w:i/>
          <w:color w:val="auto"/>
          <w:sz w:val="24"/>
          <w:szCs w:val="24"/>
          <w:lang w:val="pt-PT"/>
        </w:rPr>
        <w:t>proibição do excesso</w:t>
      </w:r>
      <w:r w:rsidRPr="009D5D7E">
        <w:rPr>
          <w:rFonts w:ascii="Garamond" w:hAnsi="Garamond"/>
          <w:color w:val="auto"/>
          <w:sz w:val="24"/>
          <w:szCs w:val="24"/>
          <w:lang w:val="pt-PT"/>
        </w:rPr>
        <w:t>»</w:t>
      </w:r>
      <w:r w:rsidRPr="009D5D7E">
        <w:rPr>
          <w:rFonts w:ascii="Garamond" w:hAnsi="Garamond"/>
          <w:i/>
          <w:color w:val="auto"/>
          <w:sz w:val="24"/>
          <w:szCs w:val="24"/>
          <w:lang w:val="pt-PT"/>
        </w:rPr>
        <w:t>.</w:t>
      </w:r>
    </w:p>
    <w:p w:rsidR="000E1A59" w:rsidRPr="003520AF" w:rsidRDefault="000E1A59" w:rsidP="002214EA">
      <w:pPr>
        <w:spacing w:after="0" w:line="360" w:lineRule="atLeast"/>
        <w:ind w:firstLine="720"/>
        <w:rPr>
          <w:rFonts w:ascii="Garamond" w:hAnsi="Garamond"/>
          <w:color w:val="auto"/>
          <w:sz w:val="24"/>
          <w:szCs w:val="24"/>
          <w:lang w:val="pt-PT"/>
        </w:rPr>
      </w:pPr>
      <w:r w:rsidRPr="003520AF">
        <w:rPr>
          <w:rFonts w:ascii="Garamond" w:hAnsi="Garamond"/>
          <w:color w:val="auto"/>
          <w:sz w:val="24"/>
          <w:szCs w:val="24"/>
          <w:lang w:val="pt-PT"/>
        </w:rPr>
        <w:t xml:space="preserve">Quanto a este aspecto, não discordamos da alguma diferença existente entre a </w:t>
      </w:r>
      <w:r w:rsidRPr="003520AF">
        <w:rPr>
          <w:rFonts w:ascii="Garamond" w:hAnsi="Garamond"/>
          <w:i/>
          <w:color w:val="auto"/>
          <w:sz w:val="24"/>
          <w:szCs w:val="24"/>
          <w:lang w:val="pt-PT"/>
        </w:rPr>
        <w:t>discricionariedade administrativa</w:t>
      </w:r>
      <w:r w:rsidRPr="003520AF">
        <w:rPr>
          <w:rFonts w:ascii="Garamond" w:hAnsi="Garamond"/>
          <w:color w:val="auto"/>
          <w:sz w:val="24"/>
          <w:szCs w:val="24"/>
          <w:lang w:val="pt-PT"/>
        </w:rPr>
        <w:t xml:space="preserve"> e a </w:t>
      </w:r>
      <w:r w:rsidRPr="003520AF">
        <w:rPr>
          <w:rFonts w:ascii="Garamond" w:hAnsi="Garamond"/>
          <w:i/>
          <w:color w:val="auto"/>
          <w:sz w:val="24"/>
          <w:szCs w:val="24"/>
          <w:lang w:val="pt-PT"/>
        </w:rPr>
        <w:t>margem de livre conformação</w:t>
      </w:r>
      <w:r w:rsidRPr="003520AF">
        <w:rPr>
          <w:rFonts w:ascii="Garamond" w:hAnsi="Garamond"/>
          <w:color w:val="auto"/>
          <w:sz w:val="24"/>
          <w:szCs w:val="24"/>
          <w:lang w:val="pt-PT"/>
        </w:rPr>
        <w:t>. Porém, há que precisar, por um lado, que tal diferença é mínima e depende da norma constitucional em causa. É que se esta for precisa, não vislumbramos quaisquer diferenças para com a discricionariedade. Por exemplo, se a norma constitucional afirma que “</w:t>
      </w:r>
      <w:r w:rsidRPr="003520AF">
        <w:rPr>
          <w:rFonts w:ascii="Garamond" w:hAnsi="Garamond"/>
          <w:i/>
          <w:color w:val="auto"/>
          <w:sz w:val="24"/>
          <w:szCs w:val="24"/>
          <w:lang w:val="pt-PT"/>
        </w:rPr>
        <w:t xml:space="preserve">o direito à protecção da saúde é realizado </w:t>
      </w:r>
      <w:r w:rsidRPr="003520AF">
        <w:rPr>
          <w:rFonts w:ascii="Garamond" w:hAnsi="Garamond"/>
          <w:color w:val="auto"/>
          <w:sz w:val="24"/>
          <w:szCs w:val="24"/>
          <w:lang w:val="pt-PT"/>
        </w:rPr>
        <w:t xml:space="preserve">[…] </w:t>
      </w:r>
      <w:r w:rsidRPr="003520AF">
        <w:rPr>
          <w:rFonts w:ascii="Garamond" w:hAnsi="Garamond"/>
          <w:i/>
          <w:color w:val="auto"/>
          <w:sz w:val="24"/>
          <w:szCs w:val="24"/>
          <w:lang w:val="pt-PT"/>
        </w:rPr>
        <w:t xml:space="preserve">através de um serviço nacional de saúde”, </w:t>
      </w:r>
      <w:r w:rsidRPr="003520AF">
        <w:rPr>
          <w:rFonts w:ascii="Garamond" w:hAnsi="Garamond"/>
          <w:color w:val="auto"/>
          <w:sz w:val="24"/>
          <w:szCs w:val="24"/>
          <w:lang w:val="pt-PT"/>
        </w:rPr>
        <w:t xml:space="preserve">não há aqui nenhuma </w:t>
      </w:r>
      <w:r w:rsidRPr="001F2A8C">
        <w:rPr>
          <w:rFonts w:ascii="Garamond" w:hAnsi="Garamond"/>
          <w:color w:val="auto"/>
          <w:sz w:val="24"/>
          <w:szCs w:val="24"/>
          <w:lang w:val="pt-PT"/>
        </w:rPr>
        <w:t xml:space="preserve">margem de escolha relativamente ao fim da actividade estatal. Já quando as imposições são mais amplas, abstractas, aí sim abertas à </w:t>
      </w:r>
      <w:r w:rsidRPr="001F2A8C">
        <w:rPr>
          <w:rFonts w:ascii="Garamond" w:hAnsi="Garamond"/>
          <w:i/>
          <w:color w:val="auto"/>
          <w:sz w:val="24"/>
          <w:szCs w:val="24"/>
          <w:lang w:val="pt-PT"/>
        </w:rPr>
        <w:t>conformação</w:t>
      </w:r>
      <w:r w:rsidRPr="001F2A8C">
        <w:rPr>
          <w:rFonts w:ascii="Garamond" w:hAnsi="Garamond"/>
          <w:color w:val="auto"/>
          <w:sz w:val="24"/>
          <w:szCs w:val="24"/>
          <w:lang w:val="pt-PT"/>
        </w:rPr>
        <w:t xml:space="preserve">, vislumbram-se algumas diferenças. Trata-se de uma espécie de </w:t>
      </w:r>
      <w:r w:rsidRPr="001F2A8C">
        <w:rPr>
          <w:rFonts w:ascii="Garamond" w:hAnsi="Garamond"/>
          <w:i/>
          <w:color w:val="auto"/>
          <w:sz w:val="24"/>
          <w:szCs w:val="24"/>
          <w:lang w:val="pt-PT"/>
        </w:rPr>
        <w:t xml:space="preserve">dupla discricionariedade, </w:t>
      </w:r>
      <w:r w:rsidRPr="001F2A8C">
        <w:rPr>
          <w:rFonts w:ascii="Garamond" w:hAnsi="Garamond"/>
          <w:color w:val="auto"/>
          <w:sz w:val="24"/>
          <w:szCs w:val="24"/>
          <w:lang w:val="pt-PT"/>
        </w:rPr>
        <w:t>em que os poderes públicos têm discricionariedade quanto ao</w:t>
      </w:r>
      <w:r w:rsidRPr="001F2A8C">
        <w:rPr>
          <w:rFonts w:ascii="Garamond" w:hAnsi="Garamond"/>
          <w:i/>
          <w:color w:val="auto"/>
          <w:sz w:val="24"/>
          <w:szCs w:val="24"/>
          <w:lang w:val="pt-PT"/>
        </w:rPr>
        <w:t xml:space="preserve"> como </w:t>
      </w:r>
      <w:r w:rsidRPr="001F2A8C">
        <w:rPr>
          <w:rFonts w:ascii="Garamond" w:hAnsi="Garamond"/>
          <w:color w:val="auto"/>
          <w:sz w:val="24"/>
          <w:szCs w:val="24"/>
          <w:lang w:val="pt-PT"/>
        </w:rPr>
        <w:t xml:space="preserve">da concretização, mas, perante a situação de escassez moderada de recursos em que vivemos, têm também discricionariedade quanto ao </w:t>
      </w:r>
      <w:r w:rsidRPr="001F2A8C">
        <w:rPr>
          <w:rFonts w:ascii="Garamond" w:hAnsi="Garamond"/>
          <w:i/>
          <w:color w:val="auto"/>
          <w:sz w:val="24"/>
          <w:szCs w:val="24"/>
          <w:lang w:val="pt-PT"/>
        </w:rPr>
        <w:t>quando</w:t>
      </w:r>
      <w:r w:rsidRPr="001F2A8C">
        <w:rPr>
          <w:rFonts w:ascii="Garamond" w:hAnsi="Garamond"/>
          <w:color w:val="auto"/>
          <w:sz w:val="24"/>
          <w:szCs w:val="24"/>
          <w:lang w:val="pt-PT"/>
        </w:rPr>
        <w:t xml:space="preserve"> do cumprimento da imposição constitucional.</w:t>
      </w:r>
    </w:p>
    <w:p w:rsidR="000E1A59" w:rsidRPr="003520AF" w:rsidRDefault="000E1A59" w:rsidP="002214EA">
      <w:pPr>
        <w:pStyle w:val="Title1"/>
        <w:tabs>
          <w:tab w:val="left" w:pos="1276"/>
          <w:tab w:val="left" w:pos="1560"/>
          <w:tab w:val="left" w:pos="2835"/>
          <w:tab w:val="left" w:pos="9072"/>
        </w:tabs>
        <w:autoSpaceDE w:val="0"/>
        <w:autoSpaceDN w:val="0"/>
        <w:adjustRightInd w:val="0"/>
        <w:spacing w:after="0" w:line="360" w:lineRule="atLeast"/>
        <w:ind w:right="-1"/>
        <w:rPr>
          <w:rFonts w:ascii="Garamond" w:hAnsi="Garamond"/>
          <w:b w:val="0"/>
          <w:color w:val="auto"/>
          <w:sz w:val="24"/>
          <w:szCs w:val="24"/>
          <w:lang w:val="pt-PT"/>
        </w:rPr>
      </w:pPr>
    </w:p>
    <w:p w:rsidR="000E1A59" w:rsidRPr="003520AF" w:rsidRDefault="000E1A59" w:rsidP="002214EA">
      <w:pPr>
        <w:pStyle w:val="Title1"/>
        <w:tabs>
          <w:tab w:val="left" w:pos="1276"/>
          <w:tab w:val="left" w:pos="1560"/>
          <w:tab w:val="left" w:pos="2835"/>
          <w:tab w:val="left" w:pos="9072"/>
        </w:tabs>
        <w:autoSpaceDE w:val="0"/>
        <w:autoSpaceDN w:val="0"/>
        <w:adjustRightInd w:val="0"/>
        <w:spacing w:after="0" w:line="360" w:lineRule="atLeast"/>
        <w:ind w:right="-1"/>
        <w:rPr>
          <w:rFonts w:ascii="Garamond" w:hAnsi="Garamond"/>
          <w:b w:val="0"/>
          <w:color w:val="auto"/>
          <w:sz w:val="24"/>
          <w:szCs w:val="24"/>
          <w:lang w:val="pt-PT"/>
        </w:rPr>
      </w:pPr>
    </w:p>
    <w:p w:rsidR="000E1A59" w:rsidRPr="004B32BC" w:rsidRDefault="000E1A59" w:rsidP="004B32BC">
      <w:pPr>
        <w:jc w:val="right"/>
        <w:rPr>
          <w:rFonts w:ascii="Garamond" w:hAnsi="Garamond"/>
          <w:i/>
          <w:smallCaps/>
          <w:sz w:val="24"/>
          <w:szCs w:val="24"/>
          <w:lang w:val="pt-PT"/>
        </w:rPr>
      </w:pPr>
      <w:r w:rsidRPr="004B32BC">
        <w:rPr>
          <w:rFonts w:ascii="Garamond" w:hAnsi="Garamond"/>
          <w:i/>
          <w:smallCaps/>
          <w:sz w:val="24"/>
          <w:szCs w:val="24"/>
          <w:lang w:val="pt-PT"/>
        </w:rPr>
        <w:t>Jorge Silva Sampaio</w:t>
      </w:r>
    </w:p>
    <w:sectPr w:rsidR="000E1A59" w:rsidRPr="004B32BC" w:rsidSect="00B2704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A59" w:rsidRDefault="000E1A59" w:rsidP="002214EA">
      <w:pPr>
        <w:spacing w:after="0" w:line="240" w:lineRule="auto"/>
      </w:pPr>
      <w:r>
        <w:separator/>
      </w:r>
    </w:p>
  </w:endnote>
  <w:endnote w:type="continuationSeparator" w:id="1">
    <w:p w:rsidR="000E1A59" w:rsidRDefault="000E1A59" w:rsidP="00221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A59" w:rsidRDefault="000E1A59" w:rsidP="002214EA">
      <w:pPr>
        <w:spacing w:after="0" w:line="240" w:lineRule="auto"/>
      </w:pPr>
      <w:r>
        <w:separator/>
      </w:r>
    </w:p>
  </w:footnote>
  <w:footnote w:type="continuationSeparator" w:id="1">
    <w:p w:rsidR="000E1A59" w:rsidRDefault="000E1A59" w:rsidP="002214EA">
      <w:pPr>
        <w:spacing w:after="0" w:line="240" w:lineRule="auto"/>
      </w:pPr>
      <w:r>
        <w:continuationSeparator/>
      </w:r>
    </w:p>
  </w:footnote>
  <w:footnote w:id="2">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Cfr. </w:t>
      </w:r>
      <w:r w:rsidRPr="00060270">
        <w:rPr>
          <w:rFonts w:ascii="Garamond" w:hAnsi="Garamond"/>
          <w:smallCaps/>
          <w:color w:val="auto"/>
          <w:sz w:val="20"/>
          <w:lang w:val="pt-PT"/>
        </w:rPr>
        <w:t xml:space="preserve">Jorge Reis </w:t>
      </w:r>
      <w:r w:rsidRPr="002214EA">
        <w:rPr>
          <w:rFonts w:ascii="Garamond" w:hAnsi="Garamond"/>
          <w:smallCaps/>
          <w:color w:val="auto"/>
          <w:sz w:val="20"/>
          <w:lang w:val="pt-PT"/>
        </w:rPr>
        <w:t>Novais</w:t>
      </w:r>
      <w:r w:rsidRPr="002214EA">
        <w:rPr>
          <w:rFonts w:ascii="Garamond" w:hAnsi="Garamond"/>
          <w:color w:val="auto"/>
          <w:sz w:val="20"/>
          <w:lang w:val="pt-PT"/>
        </w:rPr>
        <w:t xml:space="preserve">, </w:t>
      </w:r>
      <w:r w:rsidRPr="002214EA">
        <w:rPr>
          <w:rStyle w:val="titulo1"/>
          <w:rFonts w:ascii="Garamond" w:hAnsi="Garamond"/>
          <w:b w:val="0"/>
          <w:i/>
          <w:color w:val="auto"/>
          <w:sz w:val="20"/>
          <w:lang w:val="pt-PT"/>
        </w:rPr>
        <w:t>Os Princípios…</w:t>
      </w:r>
      <w:r w:rsidRPr="002214EA">
        <w:rPr>
          <w:rFonts w:ascii="Garamond" w:hAnsi="Garamond"/>
          <w:color w:val="auto"/>
          <w:sz w:val="20"/>
          <w:lang w:val="pt-PT"/>
        </w:rPr>
        <w:t>, cit., p. 10.</w:t>
      </w:r>
    </w:p>
  </w:footnote>
  <w:footnote w:id="3">
    <w:p w:rsidR="000E1A59" w:rsidRDefault="000E1A59" w:rsidP="002214EA">
      <w:pPr>
        <w:pStyle w:val="FootnoteText"/>
        <w:spacing w:after="0" w:line="240" w:lineRule="auto"/>
        <w:ind w:firstLine="720"/>
      </w:pPr>
      <w:r w:rsidRPr="002214EA">
        <w:rPr>
          <w:rStyle w:val="FootnoteReference"/>
          <w:rFonts w:ascii="Garamond" w:hAnsi="Garamond"/>
          <w:color w:val="auto"/>
          <w:sz w:val="20"/>
        </w:rPr>
        <w:footnoteRef/>
      </w:r>
      <w:r w:rsidRPr="002214EA">
        <w:rPr>
          <w:rFonts w:ascii="Garamond" w:hAnsi="Garamond"/>
          <w:color w:val="auto"/>
          <w:sz w:val="20"/>
          <w:lang w:val="pt-PT"/>
        </w:rPr>
        <w:t xml:space="preserve"> Aproveitamos a definição de Estado de Direito de </w:t>
      </w:r>
      <w:r w:rsidRPr="002214EA">
        <w:rPr>
          <w:rFonts w:ascii="Garamond" w:hAnsi="Garamond"/>
          <w:smallCaps/>
          <w:color w:val="auto"/>
          <w:sz w:val="20"/>
          <w:lang w:val="pt-PT"/>
        </w:rPr>
        <w:t>Maria Lúcia Amaral</w:t>
      </w:r>
      <w:r w:rsidRPr="002214EA">
        <w:rPr>
          <w:rFonts w:ascii="Garamond" w:hAnsi="Garamond"/>
          <w:color w:val="auto"/>
          <w:sz w:val="20"/>
          <w:lang w:val="pt-PT"/>
        </w:rPr>
        <w:t>, acrescenta</w:t>
      </w:r>
      <w:r>
        <w:rPr>
          <w:rFonts w:ascii="Garamond" w:hAnsi="Garamond"/>
          <w:color w:val="auto"/>
          <w:sz w:val="20"/>
          <w:lang w:val="pt-PT"/>
        </w:rPr>
        <w:t>ndo os direitos de cariz social.</w:t>
      </w:r>
    </w:p>
  </w:footnote>
  <w:footnote w:id="4">
    <w:p w:rsidR="000E1A59" w:rsidRDefault="000E1A59" w:rsidP="002214EA">
      <w:pPr>
        <w:pStyle w:val="FootnoteText"/>
        <w:tabs>
          <w:tab w:val="left" w:pos="-142"/>
        </w:tabs>
        <w:spacing w:after="0" w:line="240" w:lineRule="auto"/>
        <w:ind w:firstLine="720"/>
      </w:pPr>
      <w:r w:rsidRPr="002214EA">
        <w:rPr>
          <w:rStyle w:val="FootnoteReference"/>
          <w:rFonts w:ascii="Garamond" w:hAnsi="Garamond"/>
          <w:color w:val="auto"/>
          <w:sz w:val="20"/>
        </w:rPr>
        <w:footnoteRef/>
      </w:r>
      <w:r w:rsidRPr="002214EA">
        <w:rPr>
          <w:rFonts w:ascii="Garamond" w:hAnsi="Garamond"/>
          <w:color w:val="auto"/>
          <w:sz w:val="20"/>
          <w:lang w:val="pt-PT"/>
        </w:rPr>
        <w:t xml:space="preserve"> Cfr. </w:t>
      </w:r>
      <w:r w:rsidRPr="002214EA">
        <w:rPr>
          <w:rFonts w:ascii="Garamond" w:hAnsi="Garamond"/>
          <w:smallCaps/>
          <w:color w:val="auto"/>
          <w:sz w:val="20"/>
          <w:lang w:val="pt-PT"/>
        </w:rPr>
        <w:t>Jorge Reis Novais</w:t>
      </w:r>
      <w:r w:rsidRPr="002214EA">
        <w:rPr>
          <w:rFonts w:ascii="Garamond" w:hAnsi="Garamond"/>
          <w:color w:val="auto"/>
          <w:sz w:val="20"/>
          <w:lang w:val="pt-PT"/>
        </w:rPr>
        <w:t xml:space="preserve">, </w:t>
      </w:r>
      <w:r w:rsidRPr="002214EA">
        <w:rPr>
          <w:rStyle w:val="titulo1"/>
          <w:rFonts w:ascii="Garamond" w:hAnsi="Garamond"/>
          <w:b w:val="0"/>
          <w:i/>
          <w:color w:val="auto"/>
          <w:sz w:val="20"/>
          <w:lang w:val="pt-PT"/>
        </w:rPr>
        <w:t>Os Princípios…</w:t>
      </w:r>
      <w:r w:rsidRPr="002214EA">
        <w:rPr>
          <w:rFonts w:ascii="Garamond" w:hAnsi="Garamond"/>
          <w:b/>
          <w:color w:val="auto"/>
          <w:sz w:val="20"/>
          <w:lang w:val="pt-PT"/>
        </w:rPr>
        <w:t>,</w:t>
      </w:r>
      <w:r w:rsidRPr="002214EA">
        <w:rPr>
          <w:rFonts w:ascii="Garamond" w:hAnsi="Garamond"/>
          <w:color w:val="auto"/>
          <w:sz w:val="20"/>
          <w:lang w:val="pt-PT"/>
        </w:rPr>
        <w:t xml:space="preserve"> cit., p. 10.</w:t>
      </w:r>
    </w:p>
  </w:footnote>
  <w:footnote w:id="5">
    <w:p w:rsidR="000E1A59" w:rsidRDefault="000E1A59" w:rsidP="002214EA">
      <w:pPr>
        <w:pStyle w:val="FootnoteText"/>
        <w:tabs>
          <w:tab w:val="left" w:pos="-142"/>
        </w:tabs>
        <w:spacing w:after="0" w:line="240" w:lineRule="auto"/>
        <w:ind w:firstLine="720"/>
      </w:pPr>
      <w:r w:rsidRPr="002214EA">
        <w:rPr>
          <w:rStyle w:val="FootnoteReference"/>
          <w:rFonts w:ascii="Garamond" w:hAnsi="Garamond"/>
          <w:color w:val="auto"/>
          <w:sz w:val="20"/>
        </w:rPr>
        <w:footnoteRef/>
      </w:r>
      <w:r w:rsidRPr="002214EA">
        <w:rPr>
          <w:rFonts w:ascii="Garamond" w:hAnsi="Garamond"/>
          <w:color w:val="auto"/>
          <w:sz w:val="20"/>
          <w:lang w:val="pt-PT"/>
        </w:rPr>
        <w:t xml:space="preserve"> Cfr. </w:t>
      </w:r>
      <w:r w:rsidRPr="002214EA">
        <w:rPr>
          <w:rFonts w:ascii="Garamond" w:hAnsi="Garamond"/>
          <w:smallCaps/>
          <w:color w:val="auto"/>
          <w:sz w:val="20"/>
          <w:lang w:val="pt-PT"/>
        </w:rPr>
        <w:t>Jorge Reis Novais</w:t>
      </w:r>
      <w:r w:rsidRPr="002214EA">
        <w:rPr>
          <w:rFonts w:ascii="Garamond" w:hAnsi="Garamond"/>
          <w:color w:val="auto"/>
          <w:sz w:val="20"/>
          <w:lang w:val="pt-PT"/>
        </w:rPr>
        <w:t xml:space="preserve">, </w:t>
      </w:r>
      <w:r w:rsidRPr="002214EA">
        <w:rPr>
          <w:rStyle w:val="titulo1"/>
          <w:rFonts w:ascii="Garamond" w:hAnsi="Garamond"/>
          <w:b w:val="0"/>
          <w:i/>
          <w:color w:val="auto"/>
          <w:sz w:val="20"/>
          <w:lang w:val="pt-PT"/>
        </w:rPr>
        <w:t>Os Princípios…</w:t>
      </w:r>
      <w:r w:rsidRPr="002214EA">
        <w:rPr>
          <w:rFonts w:ascii="Garamond" w:hAnsi="Garamond"/>
          <w:color w:val="auto"/>
          <w:sz w:val="20"/>
          <w:lang w:val="pt-PT"/>
        </w:rPr>
        <w:t>, cit., p. 10.</w:t>
      </w:r>
    </w:p>
  </w:footnote>
  <w:footnote w:id="6">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9D5D7E">
        <w:rPr>
          <w:rFonts w:ascii="Garamond" w:hAnsi="Garamond"/>
          <w:color w:val="auto"/>
          <w:sz w:val="20"/>
          <w:lang w:val="pt-PT"/>
        </w:rPr>
        <w:t xml:space="preserve"> Cfr. </w:t>
      </w:r>
      <w:r w:rsidRPr="009D5D7E">
        <w:rPr>
          <w:rFonts w:ascii="Garamond" w:hAnsi="Garamond"/>
          <w:smallCaps/>
          <w:color w:val="auto"/>
          <w:sz w:val="20"/>
          <w:lang w:val="pt-PT"/>
        </w:rPr>
        <w:t>Robert Alexy</w:t>
      </w:r>
      <w:r w:rsidRPr="009D5D7E">
        <w:rPr>
          <w:rFonts w:ascii="Garamond" w:hAnsi="Garamond"/>
          <w:color w:val="auto"/>
          <w:sz w:val="20"/>
          <w:lang w:val="pt-PT"/>
        </w:rPr>
        <w:t>.</w:t>
      </w:r>
    </w:p>
  </w:footnote>
  <w:footnote w:id="7">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Ainda que se admita que os direitos fundamentais sejam restringidos pelos poderes públicos, o conceito de «limites dos limites» (ou “limites das restrições”) tem um papel essencial no âmbito do Estado de Direito (cfr. </w:t>
      </w:r>
      <w:r w:rsidRPr="00060270">
        <w:rPr>
          <w:rFonts w:ascii="Garamond" w:hAnsi="Garamond"/>
          <w:smallCaps/>
          <w:color w:val="auto"/>
          <w:sz w:val="20"/>
          <w:lang w:val="pt-PT"/>
        </w:rPr>
        <w:t>Bodo</w:t>
      </w:r>
      <w:r w:rsidRPr="00060270">
        <w:rPr>
          <w:rFonts w:ascii="Garamond" w:hAnsi="Garamond"/>
          <w:color w:val="auto"/>
          <w:sz w:val="20"/>
          <w:lang w:val="pt-PT"/>
        </w:rPr>
        <w:t xml:space="preserve"> </w:t>
      </w:r>
      <w:r w:rsidRPr="00060270">
        <w:rPr>
          <w:rFonts w:ascii="Garamond" w:hAnsi="Garamond"/>
          <w:smallCaps/>
          <w:color w:val="auto"/>
          <w:sz w:val="20"/>
          <w:lang w:val="pt-PT"/>
        </w:rPr>
        <w:t>Pieroth/Bernhard Schlink</w:t>
      </w:r>
      <w:r w:rsidRPr="00060270">
        <w:rPr>
          <w:rFonts w:ascii="Garamond" w:hAnsi="Garamond"/>
          <w:color w:val="auto"/>
          <w:sz w:val="20"/>
          <w:lang w:val="pt-PT"/>
        </w:rPr>
        <w:t xml:space="preserve">). Como refere </w:t>
      </w:r>
      <w:r w:rsidRPr="00060270">
        <w:rPr>
          <w:rFonts w:ascii="Garamond" w:hAnsi="Garamond"/>
          <w:smallCaps/>
          <w:color w:val="auto"/>
          <w:sz w:val="20"/>
          <w:lang w:val="pt-PT"/>
        </w:rPr>
        <w:t>Alexy</w:t>
      </w:r>
      <w:r w:rsidRPr="00060270">
        <w:rPr>
          <w:rFonts w:ascii="Garamond" w:hAnsi="Garamond"/>
          <w:color w:val="auto"/>
          <w:sz w:val="20"/>
          <w:lang w:val="pt-PT"/>
        </w:rPr>
        <w:t xml:space="preserve">, se a natureza principial dos direitos fundamentais implica, desde logo, a possibilidade de os restringir, em virtude de princípios contrários, também tal possibilidade de limitabilidade é, ela própria, restringida (cfr. </w:t>
      </w:r>
      <w:r w:rsidRPr="00060270">
        <w:rPr>
          <w:rFonts w:ascii="Garamond" w:hAnsi="Garamond"/>
          <w:smallCaps/>
          <w:color w:val="auto"/>
          <w:sz w:val="20"/>
          <w:lang w:val="pt-PT"/>
        </w:rPr>
        <w:t>Robert Alexy</w:t>
      </w:r>
      <w:r w:rsidRPr="00060270">
        <w:rPr>
          <w:rFonts w:ascii="Garamond" w:hAnsi="Garamond"/>
          <w:color w:val="auto"/>
          <w:sz w:val="20"/>
          <w:lang w:val="pt-PT"/>
        </w:rPr>
        <w:t xml:space="preserve">). E trata-se de um conceito decorrente do Estado de Direito Democrático que «é a base legal para a limitação do poder legislativo em relação à limitação de direitos [fundamentais]» (cfr. </w:t>
      </w:r>
      <w:r w:rsidRPr="00060270">
        <w:rPr>
          <w:rFonts w:ascii="Garamond" w:hAnsi="Garamond"/>
          <w:smallCaps/>
          <w:color w:val="auto"/>
          <w:sz w:val="20"/>
          <w:lang w:val="pt-PT"/>
        </w:rPr>
        <w:t>Aharon Barak</w:t>
      </w:r>
      <w:r w:rsidRPr="00060270">
        <w:rPr>
          <w:rFonts w:ascii="Garamond" w:hAnsi="Garamond"/>
          <w:color w:val="auto"/>
          <w:sz w:val="20"/>
          <w:lang w:val="pt-PT"/>
        </w:rPr>
        <w:t xml:space="preserve">).    </w:t>
      </w:r>
    </w:p>
  </w:footnote>
  <w:footnote w:id="8">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Cfr. </w:t>
      </w:r>
      <w:r w:rsidRPr="00060270">
        <w:rPr>
          <w:rFonts w:ascii="Garamond" w:hAnsi="Garamond"/>
          <w:smallCaps/>
          <w:color w:val="auto"/>
          <w:sz w:val="20"/>
          <w:lang w:val="pt-PT"/>
        </w:rPr>
        <w:t>Jorge Reis Novais</w:t>
      </w:r>
      <w:r w:rsidRPr="00060270">
        <w:rPr>
          <w:rFonts w:ascii="Garamond" w:hAnsi="Garamond"/>
          <w:color w:val="auto"/>
          <w:sz w:val="20"/>
          <w:lang w:val="pt-PT"/>
        </w:rPr>
        <w:t xml:space="preserve">, </w:t>
      </w:r>
      <w:r w:rsidRPr="00060270">
        <w:rPr>
          <w:rFonts w:ascii="Garamond" w:hAnsi="Garamond"/>
          <w:i/>
          <w:color w:val="auto"/>
          <w:sz w:val="20"/>
          <w:lang w:val="pt-PT"/>
        </w:rPr>
        <w:t>As restrições…</w:t>
      </w:r>
      <w:r w:rsidRPr="00060270">
        <w:rPr>
          <w:rFonts w:ascii="Garamond" w:hAnsi="Garamond"/>
          <w:color w:val="auto"/>
          <w:sz w:val="20"/>
          <w:lang w:val="pt-PT"/>
        </w:rPr>
        <w:t>, cit., p. 78.</w:t>
      </w:r>
    </w:p>
  </w:footnote>
  <w:footnote w:id="9">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Seguindo </w:t>
      </w:r>
      <w:bookmarkStart w:id="8" w:name="OLE_LINK604"/>
      <w:bookmarkStart w:id="9" w:name="OLE_LINK623"/>
      <w:r w:rsidRPr="00060270">
        <w:rPr>
          <w:rFonts w:ascii="Garamond" w:hAnsi="Garamond"/>
          <w:smallCaps/>
          <w:color w:val="auto"/>
          <w:sz w:val="20"/>
          <w:lang w:val="pt-PT"/>
        </w:rPr>
        <w:t>Peter Lerche</w:t>
      </w:r>
      <w:bookmarkEnd w:id="8"/>
      <w:bookmarkEnd w:id="9"/>
      <w:r w:rsidRPr="00060270">
        <w:rPr>
          <w:rFonts w:ascii="Garamond" w:hAnsi="Garamond"/>
          <w:color w:val="auto"/>
          <w:sz w:val="20"/>
          <w:lang w:val="pt-PT"/>
        </w:rPr>
        <w:t xml:space="preserve">, utilizamos, de forma preferente, o termo </w:t>
      </w:r>
      <w:r w:rsidRPr="00060270">
        <w:rPr>
          <w:rFonts w:ascii="Garamond" w:hAnsi="Garamond"/>
          <w:i/>
          <w:color w:val="auto"/>
          <w:sz w:val="20"/>
          <w:lang w:val="pt-PT"/>
        </w:rPr>
        <w:t>proibição da proibição do excesso</w:t>
      </w:r>
      <w:r w:rsidRPr="00060270">
        <w:rPr>
          <w:rFonts w:ascii="Garamond" w:hAnsi="Garamond"/>
          <w:color w:val="auto"/>
          <w:sz w:val="20"/>
          <w:lang w:val="pt-PT"/>
        </w:rPr>
        <w:t xml:space="preserve"> pela sua abrangência, que abrangeria diversos elementos constitutivos, entre os quais o da proporcionalidade. Se se quiser podemos afirmar que este princípio mais largo abrange os três subvectores da proporcionalidade e ainda um quarto subprincípio da razoabilidade. Haveria, assim, diferenças entre a proibição do excesso e a proporcionalidade em sentido lato, porque o primeiro princípio seria mais amplo e abrangeria o segundo.</w:t>
      </w:r>
    </w:p>
  </w:footnote>
  <w:footnote w:id="10">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de-DE"/>
        </w:rPr>
        <w:t xml:space="preserve"> Cfr. </w:t>
      </w:r>
      <w:r w:rsidRPr="00060270">
        <w:rPr>
          <w:rFonts w:ascii="Garamond" w:hAnsi="Garamond"/>
          <w:smallCaps/>
          <w:color w:val="auto"/>
          <w:sz w:val="20"/>
          <w:lang w:val="de-DE"/>
        </w:rPr>
        <w:t>Fritz Ossenbühl</w:t>
      </w:r>
      <w:r w:rsidRPr="00060270">
        <w:rPr>
          <w:rFonts w:ascii="Garamond" w:hAnsi="Garamond"/>
          <w:color w:val="auto"/>
          <w:sz w:val="20"/>
          <w:lang w:val="de-DE"/>
        </w:rPr>
        <w:t>.</w:t>
      </w:r>
    </w:p>
  </w:footnote>
  <w:footnote w:id="11">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de-DE"/>
        </w:rPr>
        <w:t xml:space="preserve"> Cfr. </w:t>
      </w:r>
      <w:r>
        <w:rPr>
          <w:rFonts w:ascii="Garamond" w:hAnsi="Garamond"/>
          <w:smallCaps/>
          <w:color w:val="auto"/>
          <w:sz w:val="20"/>
          <w:lang w:val="de-DE"/>
        </w:rPr>
        <w:t>Matthias Klatt/</w:t>
      </w:r>
      <w:r w:rsidRPr="00901BCD">
        <w:rPr>
          <w:rFonts w:ascii="Garamond" w:hAnsi="Garamond"/>
          <w:smallCaps/>
          <w:color w:val="auto"/>
          <w:sz w:val="20"/>
          <w:lang w:val="de-DE"/>
        </w:rPr>
        <w:t xml:space="preserve"> </w:t>
      </w:r>
      <w:r>
        <w:rPr>
          <w:rFonts w:ascii="Garamond" w:hAnsi="Garamond"/>
          <w:smallCaps/>
          <w:color w:val="auto"/>
          <w:sz w:val="20"/>
          <w:lang w:val="de-DE"/>
        </w:rPr>
        <w:t>Moritz Meister</w:t>
      </w:r>
    </w:p>
  </w:footnote>
  <w:footnote w:id="12">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Cfr. </w:t>
      </w:r>
      <w:r w:rsidRPr="00060270">
        <w:rPr>
          <w:rFonts w:ascii="Garamond" w:hAnsi="Garamond"/>
          <w:smallCaps/>
          <w:color w:val="auto"/>
          <w:sz w:val="20"/>
          <w:lang w:val="pt-PT"/>
        </w:rPr>
        <w:t>Gomes Canotilho</w:t>
      </w:r>
    </w:p>
  </w:footnote>
  <w:footnote w:id="13">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Cfr. </w:t>
      </w:r>
      <w:r w:rsidRPr="00060270">
        <w:rPr>
          <w:rFonts w:ascii="Garamond" w:hAnsi="Garamond"/>
          <w:smallCaps/>
          <w:color w:val="auto"/>
          <w:sz w:val="20"/>
          <w:lang w:val="pt-PT"/>
        </w:rPr>
        <w:t>Vitalino Canas</w:t>
      </w:r>
      <w:r w:rsidRPr="00060270">
        <w:rPr>
          <w:rFonts w:ascii="Garamond" w:hAnsi="Garamond"/>
          <w:color w:val="auto"/>
          <w:sz w:val="20"/>
          <w:lang w:val="pt-PT"/>
        </w:rPr>
        <w:t xml:space="preserve">. </w:t>
      </w:r>
    </w:p>
  </w:footnote>
  <w:footnote w:id="14">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Por exemplo, cfr. os artigos 18.º, n.º 2; 19.º, n.º 4 e 8; 28.º, n.º 2; 30.º, n.º 5; 65.º, n.º 4, 168.º, n.º 2 e 3; 189.º, n.º 5; 266.º, n.º 2; 267.º, n.º 3; 270.º ; 272.º ; 272.º, n.º 2 ; e 282.º, n.º 4, todos da CRP. </w:t>
      </w:r>
    </w:p>
  </w:footnote>
  <w:footnote w:id="15">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Entre muitos outros</w:t>
      </w:r>
      <w:r>
        <w:rPr>
          <w:rFonts w:ascii="Garamond" w:hAnsi="Garamond"/>
          <w:color w:val="auto"/>
          <w:sz w:val="20"/>
          <w:lang w:val="pt-PT"/>
        </w:rPr>
        <w:t>,</w:t>
      </w:r>
      <w:r w:rsidRPr="00060270">
        <w:rPr>
          <w:rFonts w:ascii="Garamond" w:hAnsi="Garamond"/>
          <w:color w:val="auto"/>
          <w:sz w:val="20"/>
          <w:lang w:val="pt-PT"/>
        </w:rPr>
        <w:t xml:space="preserve"> vejam-se os Acórdãos do Tribunal Constitucional n.º 634/93; n.º 187/2001; ou, mais recentemente, n.º 632/2008.</w:t>
      </w:r>
    </w:p>
  </w:footnote>
  <w:footnote w:id="16">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de-DE"/>
        </w:rPr>
        <w:t xml:space="preserve"> </w:t>
      </w:r>
      <w:r>
        <w:rPr>
          <w:rFonts w:ascii="Garamond" w:hAnsi="Garamond"/>
          <w:color w:val="auto"/>
          <w:sz w:val="20"/>
          <w:lang w:val="de-DE"/>
        </w:rPr>
        <w:t>Em sentido próximo, c</w:t>
      </w:r>
      <w:r w:rsidRPr="00060270">
        <w:rPr>
          <w:rFonts w:ascii="Garamond" w:hAnsi="Garamond"/>
          <w:color w:val="auto"/>
          <w:sz w:val="20"/>
          <w:lang w:val="de-DE"/>
        </w:rPr>
        <w:t xml:space="preserve">fr. </w:t>
      </w:r>
      <w:r>
        <w:rPr>
          <w:rFonts w:ascii="Garamond" w:hAnsi="Garamond"/>
          <w:smallCaps/>
          <w:color w:val="auto"/>
          <w:sz w:val="20"/>
          <w:lang w:val="de-DE"/>
        </w:rPr>
        <w:t>Matthias Klatt/</w:t>
      </w:r>
      <w:r w:rsidRPr="00901BCD">
        <w:rPr>
          <w:rFonts w:ascii="Garamond" w:hAnsi="Garamond"/>
          <w:smallCaps/>
          <w:color w:val="auto"/>
          <w:sz w:val="20"/>
          <w:lang w:val="de-DE"/>
        </w:rPr>
        <w:t xml:space="preserve"> </w:t>
      </w:r>
      <w:r>
        <w:rPr>
          <w:rFonts w:ascii="Garamond" w:hAnsi="Garamond"/>
          <w:smallCaps/>
          <w:color w:val="auto"/>
          <w:sz w:val="20"/>
          <w:lang w:val="de-DE"/>
        </w:rPr>
        <w:t>Moritz Meister</w:t>
      </w:r>
    </w:p>
  </w:footnote>
  <w:footnote w:id="17">
    <w:p w:rsidR="000E1A59" w:rsidRDefault="000E1A59" w:rsidP="002214EA">
      <w:pPr>
        <w:pStyle w:val="FootnoteText"/>
        <w:tabs>
          <w:tab w:val="left" w:pos="-142"/>
          <w:tab w:val="left" w:pos="1418"/>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Note-se que o princípio da proibição do excess</w:t>
      </w:r>
      <w:r>
        <w:rPr>
          <w:rFonts w:ascii="Garamond" w:hAnsi="Garamond"/>
          <w:color w:val="auto"/>
          <w:sz w:val="20"/>
          <w:lang w:val="pt-PT"/>
        </w:rPr>
        <w:t>o</w:t>
      </w:r>
      <w:r w:rsidRPr="00060270">
        <w:rPr>
          <w:rFonts w:ascii="Garamond" w:hAnsi="Garamond"/>
          <w:color w:val="auto"/>
          <w:sz w:val="20"/>
          <w:lang w:val="pt-PT"/>
        </w:rPr>
        <w:t xml:space="preserve"> «serve diferentes e variadas funções. O seu sentido pode variar consoante os diferentes papéis que se propõe a cumprir». Assim, este conceito varia consoante a área do Direito em que é utilizado (Direito Penal, Direito Administrativo, Direito Internacional), e, para além disso, tem vindo a evoluir ao longo dos anos (cfr. </w:t>
      </w:r>
      <w:r w:rsidRPr="00060270">
        <w:rPr>
          <w:rFonts w:ascii="Garamond" w:hAnsi="Garamond"/>
          <w:smallCaps/>
          <w:color w:val="auto"/>
          <w:sz w:val="20"/>
          <w:lang w:val="pt-PT"/>
        </w:rPr>
        <w:t>Aharon Barak</w:t>
      </w:r>
      <w:r w:rsidRPr="00060270">
        <w:rPr>
          <w:rFonts w:ascii="Garamond" w:hAnsi="Garamond"/>
          <w:color w:val="auto"/>
          <w:sz w:val="20"/>
          <w:lang w:val="pt-PT"/>
        </w:rPr>
        <w:t xml:space="preserve">, </w:t>
      </w:r>
      <w:r w:rsidRPr="00060270">
        <w:rPr>
          <w:rFonts w:ascii="Garamond" w:hAnsi="Garamond"/>
          <w:i/>
          <w:color w:val="auto"/>
          <w:sz w:val="20"/>
          <w:lang w:val="pt-PT"/>
        </w:rPr>
        <w:t>Proportionality…</w:t>
      </w:r>
      <w:r w:rsidRPr="00060270">
        <w:rPr>
          <w:rFonts w:ascii="Garamond" w:hAnsi="Garamond"/>
          <w:color w:val="auto"/>
          <w:sz w:val="20"/>
          <w:lang w:val="pt-PT"/>
        </w:rPr>
        <w:t>, cit., p. 146).</w:t>
      </w:r>
    </w:p>
  </w:footnote>
  <w:footnote w:id="18">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en-US"/>
        </w:rPr>
        <w:t xml:space="preserve"> Cfr. </w:t>
      </w:r>
      <w:r w:rsidRPr="00060270">
        <w:rPr>
          <w:rFonts w:ascii="Garamond" w:hAnsi="Garamond"/>
          <w:smallCaps/>
          <w:color w:val="auto"/>
          <w:sz w:val="20"/>
          <w:lang w:val="en-US"/>
        </w:rPr>
        <w:t>Aharon Barak</w:t>
      </w:r>
      <w:r w:rsidRPr="00060270">
        <w:rPr>
          <w:rFonts w:ascii="Garamond" w:hAnsi="Garamond"/>
          <w:color w:val="auto"/>
          <w:sz w:val="20"/>
          <w:lang w:val="en-US"/>
        </w:rPr>
        <w:t xml:space="preserve">, </w:t>
      </w:r>
      <w:r w:rsidRPr="00060270">
        <w:rPr>
          <w:rFonts w:ascii="Garamond" w:hAnsi="Garamond"/>
          <w:i/>
          <w:color w:val="auto"/>
          <w:sz w:val="20"/>
          <w:lang w:val="en-US"/>
        </w:rPr>
        <w:t>Proportionality…</w:t>
      </w:r>
      <w:r w:rsidRPr="00060270">
        <w:rPr>
          <w:rFonts w:ascii="Garamond" w:hAnsi="Garamond"/>
          <w:color w:val="auto"/>
          <w:sz w:val="20"/>
          <w:lang w:val="en-US"/>
        </w:rPr>
        <w:t xml:space="preserve">, cit., pp. 131 e 132. </w:t>
      </w:r>
    </w:p>
  </w:footnote>
  <w:footnote w:id="19">
    <w:p w:rsidR="000E1A59" w:rsidRDefault="000E1A59" w:rsidP="002214EA">
      <w:pPr>
        <w:shd w:val="clear" w:color="auto" w:fill="FFFFFF"/>
        <w:spacing w:after="0" w:line="240" w:lineRule="auto"/>
        <w:ind w:firstLine="709"/>
      </w:pPr>
      <w:r w:rsidRPr="00060270">
        <w:rPr>
          <w:rStyle w:val="FootnoteReference"/>
          <w:rFonts w:ascii="Garamond" w:hAnsi="Garamond"/>
          <w:color w:val="auto"/>
          <w:sz w:val="20"/>
        </w:rPr>
        <w:footnoteRef/>
      </w:r>
      <w:r w:rsidRPr="00060270">
        <w:rPr>
          <w:rFonts w:ascii="Garamond" w:hAnsi="Garamond"/>
          <w:color w:val="auto"/>
          <w:sz w:val="20"/>
          <w:lang w:val="pt-PT"/>
        </w:rPr>
        <w:t xml:space="preserve"> Alguns autores têm, porém, vindo a palco defender que a proporcionalidade tem permitido um verdadeiro «assalto a</w:t>
      </w:r>
      <w:r>
        <w:rPr>
          <w:rFonts w:ascii="Garamond" w:hAnsi="Garamond"/>
          <w:color w:val="auto"/>
          <w:sz w:val="20"/>
          <w:lang w:val="pt-PT"/>
        </w:rPr>
        <w:t>os direitos fundamentais» (</w:t>
      </w:r>
      <w:r w:rsidRPr="00060270">
        <w:rPr>
          <w:rFonts w:ascii="Garamond" w:hAnsi="Garamond"/>
          <w:bCs/>
          <w:smallCaps/>
          <w:color w:val="auto"/>
          <w:sz w:val="20"/>
          <w:lang w:val="pt-PT"/>
        </w:rPr>
        <w:t>Stavros Tsakyrakis</w:t>
      </w:r>
      <w:r>
        <w:rPr>
          <w:rFonts w:ascii="Garamond" w:hAnsi="Garamond"/>
          <w:bCs/>
          <w:color w:val="auto"/>
          <w:sz w:val="20"/>
          <w:lang w:val="pt-PT"/>
        </w:rPr>
        <w:t>).</w:t>
      </w:r>
    </w:p>
  </w:footnote>
  <w:footnote w:id="20">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Cfr. </w:t>
      </w:r>
      <w:r w:rsidRPr="00060270">
        <w:rPr>
          <w:rFonts w:ascii="Garamond" w:hAnsi="Garamond"/>
          <w:smallCaps/>
          <w:color w:val="auto"/>
          <w:sz w:val="20"/>
          <w:lang w:val="pt-PT"/>
        </w:rPr>
        <w:t>Vitalino Canas</w:t>
      </w:r>
      <w:r w:rsidRPr="00060270">
        <w:rPr>
          <w:rFonts w:ascii="Garamond" w:hAnsi="Garamond"/>
          <w:color w:val="auto"/>
          <w:sz w:val="20"/>
          <w:lang w:val="pt-PT"/>
        </w:rPr>
        <w:t>, “O princípio…”</w:t>
      </w:r>
      <w:r w:rsidRPr="00060270">
        <w:rPr>
          <w:rFonts w:ascii="Garamond" w:hAnsi="Garamond"/>
          <w:i/>
          <w:color w:val="auto"/>
          <w:sz w:val="20"/>
          <w:lang w:val="pt-PT"/>
        </w:rPr>
        <w:t xml:space="preserve">, </w:t>
      </w:r>
      <w:r w:rsidRPr="00060270">
        <w:rPr>
          <w:rFonts w:ascii="Garamond" w:hAnsi="Garamond"/>
          <w:color w:val="auto"/>
          <w:sz w:val="20"/>
          <w:lang w:val="pt-PT"/>
        </w:rPr>
        <w:t>cit., p. 333.</w:t>
      </w:r>
    </w:p>
  </w:footnote>
  <w:footnote w:id="21">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Por exemplo, autores como </w:t>
      </w:r>
      <w:r w:rsidRPr="00060270">
        <w:rPr>
          <w:rFonts w:ascii="Garamond" w:hAnsi="Garamond"/>
          <w:smallCaps/>
          <w:color w:val="auto"/>
          <w:sz w:val="20"/>
          <w:lang w:val="pt-PT"/>
        </w:rPr>
        <w:t>Böckenförde, Papier</w:t>
      </w:r>
      <w:r w:rsidRPr="00060270">
        <w:rPr>
          <w:rFonts w:ascii="Garamond" w:hAnsi="Garamond"/>
          <w:color w:val="auto"/>
          <w:sz w:val="20"/>
          <w:lang w:val="pt-PT"/>
        </w:rPr>
        <w:t xml:space="preserve">, </w:t>
      </w:r>
      <w:r w:rsidRPr="00060270">
        <w:rPr>
          <w:rFonts w:ascii="Garamond" w:hAnsi="Garamond"/>
          <w:smallCaps/>
          <w:color w:val="auto"/>
          <w:sz w:val="20"/>
          <w:lang w:val="pt-PT"/>
        </w:rPr>
        <w:t xml:space="preserve">Hoffmann-Riem </w:t>
      </w:r>
      <w:r w:rsidRPr="00060270">
        <w:rPr>
          <w:rFonts w:ascii="Garamond" w:hAnsi="Garamond"/>
          <w:color w:val="auto"/>
          <w:sz w:val="20"/>
          <w:lang w:val="pt-PT"/>
        </w:rPr>
        <w:t>ou ainda</w:t>
      </w:r>
      <w:r w:rsidRPr="00060270">
        <w:rPr>
          <w:rFonts w:ascii="Garamond" w:hAnsi="Garamond"/>
          <w:smallCaps/>
          <w:color w:val="auto"/>
          <w:sz w:val="20"/>
          <w:lang w:val="pt-PT"/>
        </w:rPr>
        <w:t xml:space="preserve"> Maribel González Pascual</w:t>
      </w:r>
      <w:r w:rsidRPr="00060270">
        <w:rPr>
          <w:rFonts w:ascii="Garamond" w:hAnsi="Garamond"/>
          <w:color w:val="auto"/>
          <w:sz w:val="20"/>
          <w:lang w:val="pt-PT"/>
        </w:rPr>
        <w:t>, considerando que a força expansiva dos direitos fundamentais terá ido longe de mais, defendem que se devia apostar num outro modelo interpretativo em que o princípio da proporcionalidade e, consequentemente, o próprio Tribunal Cons</w:t>
      </w:r>
      <w:r>
        <w:rPr>
          <w:rFonts w:ascii="Garamond" w:hAnsi="Garamond"/>
          <w:color w:val="auto"/>
          <w:sz w:val="20"/>
          <w:lang w:val="pt-PT"/>
        </w:rPr>
        <w:t>titucional perdessem algum peso.</w:t>
      </w:r>
    </w:p>
  </w:footnote>
  <w:footnote w:id="22">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Por exemplo, </w:t>
      </w:r>
      <w:r w:rsidRPr="00060270">
        <w:rPr>
          <w:rFonts w:ascii="Garamond" w:hAnsi="Garamond"/>
          <w:smallCaps/>
          <w:color w:val="auto"/>
          <w:sz w:val="20"/>
          <w:lang w:val="pt-PT"/>
        </w:rPr>
        <w:t>Schlink</w:t>
      </w:r>
      <w:r w:rsidRPr="00060270">
        <w:rPr>
          <w:rFonts w:ascii="Garamond" w:hAnsi="Garamond"/>
          <w:color w:val="auto"/>
          <w:sz w:val="20"/>
          <w:lang w:val="pt-PT"/>
        </w:rPr>
        <w:t xml:space="preserve">, considera que o </w:t>
      </w:r>
      <w:r w:rsidRPr="00060270">
        <w:rPr>
          <w:rFonts w:ascii="Garamond" w:hAnsi="Garamond"/>
          <w:i/>
          <w:color w:val="auto"/>
          <w:sz w:val="20"/>
          <w:lang w:val="pt-PT"/>
        </w:rPr>
        <w:t>test</w:t>
      </w:r>
      <w:r w:rsidRPr="00060270">
        <w:rPr>
          <w:rFonts w:ascii="Garamond" w:hAnsi="Garamond"/>
          <w:color w:val="auto"/>
          <w:sz w:val="20"/>
          <w:lang w:val="pt-PT"/>
        </w:rPr>
        <w:t xml:space="preserve"> da proporcionalidade em sentido estrito é carecido de racionalidade, pois aferir se o sacrifício do direito é maior ou menor em relação a um bem jurídico não passaria de um mero «decisionismo». Assim, este passo deveria ser amputado ao princípio da proporcionalidade, porque se trata de política, razão pela qual as ponderações a ser feitas neste âmbito deveriam ficar nas mãos da “sociedade”</w:t>
      </w:r>
      <w:r w:rsidRPr="00060270">
        <w:rPr>
          <w:rFonts w:ascii="Garamond" w:hAnsi="Garamond"/>
          <w:color w:val="auto"/>
          <w:sz w:val="20"/>
          <w:lang w:val="de-DE"/>
        </w:rPr>
        <w:t>.</w:t>
      </w:r>
    </w:p>
  </w:footnote>
  <w:footnote w:id="23">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Neste sentido, cfr. </w:t>
      </w:r>
      <w:bookmarkStart w:id="10" w:name="OLE_LINK1121"/>
      <w:bookmarkStart w:id="11" w:name="OLE_LINK1122"/>
      <w:r w:rsidRPr="00060270">
        <w:rPr>
          <w:rFonts w:ascii="Garamond" w:hAnsi="Garamond"/>
          <w:smallCaps/>
          <w:color w:val="auto"/>
          <w:sz w:val="20"/>
          <w:lang w:val="pt-PT"/>
        </w:rPr>
        <w:t>Jorge Reis Novais</w:t>
      </w:r>
      <w:bookmarkEnd w:id="10"/>
      <w:bookmarkEnd w:id="11"/>
      <w:r w:rsidRPr="00060270">
        <w:rPr>
          <w:rFonts w:ascii="Garamond" w:hAnsi="Garamond"/>
          <w:color w:val="auto"/>
          <w:sz w:val="20"/>
          <w:lang w:val="pt-PT"/>
        </w:rPr>
        <w:t xml:space="preserve">, </w:t>
      </w:r>
      <w:r w:rsidRPr="00060270">
        <w:rPr>
          <w:rFonts w:ascii="Garamond" w:hAnsi="Garamond"/>
          <w:i/>
          <w:color w:val="auto"/>
          <w:sz w:val="20"/>
          <w:lang w:val="pt-PT"/>
        </w:rPr>
        <w:t>As restrições…</w:t>
      </w:r>
      <w:r w:rsidRPr="00060270">
        <w:rPr>
          <w:rFonts w:ascii="Garamond" w:hAnsi="Garamond"/>
          <w:color w:val="auto"/>
          <w:sz w:val="20"/>
          <w:lang w:val="pt-PT"/>
        </w:rPr>
        <w:t>, cit.,</w:t>
      </w:r>
      <w:r w:rsidRPr="00060270">
        <w:rPr>
          <w:rFonts w:ascii="Garamond" w:hAnsi="Garamond"/>
          <w:i/>
          <w:color w:val="auto"/>
          <w:sz w:val="20"/>
          <w:lang w:val="pt-PT"/>
        </w:rPr>
        <w:t xml:space="preserve"> </w:t>
      </w:r>
      <w:r w:rsidRPr="00060270">
        <w:rPr>
          <w:rFonts w:ascii="Garamond" w:hAnsi="Garamond"/>
          <w:color w:val="auto"/>
          <w:sz w:val="20"/>
          <w:lang w:val="pt-PT"/>
        </w:rPr>
        <w:t>pp. 765 e segs.</w:t>
      </w:r>
    </w:p>
  </w:footnote>
  <w:footnote w:id="24">
    <w:p w:rsidR="000E1A59" w:rsidRDefault="000E1A59" w:rsidP="002214EA">
      <w:pPr>
        <w:pStyle w:val="FootnoteText"/>
        <w:tabs>
          <w:tab w:val="left" w:pos="-142"/>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Contudo, criticando exactamente este controlo da proporcionalidade </w:t>
      </w:r>
      <w:r w:rsidRPr="00060270">
        <w:rPr>
          <w:rFonts w:ascii="Garamond" w:hAnsi="Garamond"/>
          <w:i/>
          <w:color w:val="auto"/>
          <w:sz w:val="20"/>
          <w:lang w:val="pt-PT"/>
        </w:rPr>
        <w:t>teste a teste</w:t>
      </w:r>
      <w:r w:rsidRPr="00060270">
        <w:rPr>
          <w:rFonts w:ascii="Garamond" w:hAnsi="Garamond"/>
          <w:color w:val="auto"/>
          <w:sz w:val="20"/>
          <w:lang w:val="pt-PT"/>
        </w:rPr>
        <w:t xml:space="preserve">, cfr. </w:t>
      </w:r>
      <w:r w:rsidRPr="00060270">
        <w:rPr>
          <w:rFonts w:ascii="Garamond" w:hAnsi="Garamond"/>
          <w:smallCaps/>
          <w:color w:val="auto"/>
          <w:sz w:val="20"/>
          <w:lang w:val="pt-PT"/>
        </w:rPr>
        <w:t>Jorge Reis Novais</w:t>
      </w:r>
      <w:r w:rsidRPr="00060270">
        <w:rPr>
          <w:rFonts w:ascii="Garamond" w:hAnsi="Garamond"/>
          <w:color w:val="auto"/>
          <w:sz w:val="20"/>
          <w:lang w:val="pt-PT"/>
        </w:rPr>
        <w:t xml:space="preserve">, </w:t>
      </w:r>
      <w:r w:rsidRPr="00060270">
        <w:rPr>
          <w:rFonts w:ascii="Garamond" w:hAnsi="Garamond"/>
          <w:i/>
          <w:color w:val="auto"/>
          <w:sz w:val="20"/>
          <w:lang w:val="pt-PT"/>
        </w:rPr>
        <w:t>Direitos Fundamentais…</w:t>
      </w:r>
      <w:r w:rsidRPr="00060270">
        <w:rPr>
          <w:rFonts w:ascii="Garamond" w:hAnsi="Garamond"/>
          <w:color w:val="auto"/>
          <w:sz w:val="20"/>
          <w:lang w:val="pt-PT"/>
        </w:rPr>
        <w:t>, cit.,</w:t>
      </w:r>
      <w:r w:rsidRPr="00060270">
        <w:rPr>
          <w:rFonts w:ascii="Garamond" w:hAnsi="Garamond"/>
          <w:i/>
          <w:color w:val="auto"/>
          <w:sz w:val="20"/>
          <w:lang w:val="pt-PT"/>
        </w:rPr>
        <w:t xml:space="preserve"> </w:t>
      </w:r>
      <w:r w:rsidRPr="00060270">
        <w:rPr>
          <w:rFonts w:ascii="Garamond" w:hAnsi="Garamond"/>
          <w:color w:val="auto"/>
          <w:sz w:val="20"/>
          <w:lang w:val="pt-PT"/>
        </w:rPr>
        <w:t xml:space="preserve">pp. 129 e segs. De acordo com o referido Autor, este tipo de controlo apenas detectaria as medidas evidentemente desproporcionadas — o que pode, desde logo, ser justificado à luz da articulação entre o poder judicial e os poderes com legitimidade democrática, como o legislativo —, pelo que nos deveríamos orientar «alternativamente para uma lógica de comparação de medidas restritivas alternativas que tenha globalmente em conta as respectivas eficácia e grau de sacrifício produzidos e é precisamente no contexto de um controlo operado segundo esta perspectiva que a metodologia da ponderação desenvolve as suas potencialidades enquanto metodologia constitucionalmente adequada» (cfr. </w:t>
      </w:r>
      <w:r w:rsidRPr="00060270">
        <w:rPr>
          <w:rFonts w:ascii="Garamond" w:hAnsi="Garamond"/>
          <w:smallCaps/>
          <w:color w:val="auto"/>
          <w:sz w:val="20"/>
          <w:lang w:val="pt-PT"/>
        </w:rPr>
        <w:t>Jorge Reis Novais</w:t>
      </w:r>
      <w:r w:rsidRPr="00060270">
        <w:rPr>
          <w:rFonts w:ascii="Garamond" w:hAnsi="Garamond"/>
          <w:color w:val="auto"/>
          <w:sz w:val="20"/>
          <w:lang w:val="pt-PT"/>
        </w:rPr>
        <w:t xml:space="preserve">, </w:t>
      </w:r>
      <w:r w:rsidRPr="00060270">
        <w:rPr>
          <w:rFonts w:ascii="Garamond" w:hAnsi="Garamond"/>
          <w:i/>
          <w:color w:val="auto"/>
          <w:sz w:val="20"/>
          <w:lang w:val="pt-PT"/>
        </w:rPr>
        <w:t>Direitos Fundamentais…</w:t>
      </w:r>
      <w:r w:rsidRPr="00060270">
        <w:rPr>
          <w:rFonts w:ascii="Garamond" w:hAnsi="Garamond"/>
          <w:color w:val="auto"/>
          <w:sz w:val="20"/>
          <w:lang w:val="pt-PT"/>
        </w:rPr>
        <w:t>, cit.,</w:t>
      </w:r>
      <w:r w:rsidRPr="00060270">
        <w:rPr>
          <w:rFonts w:ascii="Garamond" w:hAnsi="Garamond"/>
          <w:i/>
          <w:color w:val="auto"/>
          <w:sz w:val="20"/>
          <w:lang w:val="pt-PT"/>
        </w:rPr>
        <w:t xml:space="preserve"> </w:t>
      </w:r>
      <w:r w:rsidRPr="00060270">
        <w:rPr>
          <w:rFonts w:ascii="Garamond" w:hAnsi="Garamond"/>
          <w:color w:val="auto"/>
          <w:sz w:val="20"/>
          <w:lang w:val="pt-PT"/>
        </w:rPr>
        <w:t xml:space="preserve">p. 130). </w:t>
      </w:r>
    </w:p>
  </w:footnote>
  <w:footnote w:id="25">
    <w:p w:rsidR="000E1A59" w:rsidRDefault="000E1A59" w:rsidP="002214EA">
      <w:pPr>
        <w:pStyle w:val="FootnoteText"/>
        <w:tabs>
          <w:tab w:val="left" w:pos="-142"/>
          <w:tab w:val="left" w:pos="1418"/>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E esta abordagem implica (ou, pelo menos, devia implicar), para além do aumento da transparência no respeitante ao controlo, a possibilidade de um «diálogo entre o legislador e o poder judicial». Ou seja, «a decisão jurisdicional de inconstitucionalidade não é o fim da estrada». Isto é, «o diálogo entre os dois poderes </w:t>
      </w:r>
      <w:r w:rsidRPr="00060270">
        <w:rPr>
          <w:rFonts w:ascii="Garamond" w:hAnsi="Garamond"/>
          <w:sz w:val="20"/>
          <w:lang w:val="pt-PT"/>
        </w:rPr>
        <w:t>—</w:t>
      </w:r>
      <w:r w:rsidRPr="00060270">
        <w:rPr>
          <w:rFonts w:ascii="Garamond" w:hAnsi="Garamond"/>
          <w:color w:val="auto"/>
          <w:sz w:val="20"/>
          <w:lang w:val="pt-PT"/>
        </w:rPr>
        <w:t xml:space="preserve"> que começa com a legislação e continua com a determinação da inconstitucionalidade da legislação </w:t>
      </w:r>
      <w:r w:rsidRPr="00060270">
        <w:rPr>
          <w:rFonts w:ascii="Garamond" w:hAnsi="Garamond"/>
          <w:sz w:val="20"/>
          <w:lang w:val="pt-PT"/>
        </w:rPr>
        <w:t>—</w:t>
      </w:r>
      <w:r w:rsidRPr="00060270">
        <w:rPr>
          <w:rFonts w:ascii="Garamond" w:hAnsi="Garamond"/>
          <w:color w:val="auto"/>
          <w:sz w:val="20"/>
          <w:lang w:val="pt-PT"/>
        </w:rPr>
        <w:t xml:space="preserve"> continua». Nessa altura, o assunto volta ao legislador. É importante a «transparência da decisão judicial» para permitir «ao legislador entender aquilo que deve fazer para continuar a preencher os propósitos da lei» e ultrapassar a violação da constituição (cfr. </w:t>
      </w:r>
      <w:r w:rsidRPr="00060270">
        <w:rPr>
          <w:rFonts w:ascii="Garamond" w:hAnsi="Garamond"/>
          <w:smallCaps/>
          <w:color w:val="auto"/>
          <w:sz w:val="20"/>
          <w:lang w:val="pt-PT"/>
        </w:rPr>
        <w:t>Aharon Barak</w:t>
      </w:r>
      <w:r w:rsidRPr="00060270">
        <w:rPr>
          <w:rFonts w:ascii="Garamond" w:hAnsi="Garamond"/>
          <w:color w:val="auto"/>
          <w:sz w:val="20"/>
          <w:lang w:val="pt-PT"/>
        </w:rPr>
        <w:t>).</w:t>
      </w:r>
    </w:p>
  </w:footnote>
  <w:footnote w:id="26">
    <w:p w:rsidR="000E1A59" w:rsidRDefault="000E1A59" w:rsidP="002214EA">
      <w:pPr>
        <w:pStyle w:val="FootnoteText"/>
        <w:tabs>
          <w:tab w:val="left" w:pos="-142"/>
          <w:tab w:val="left" w:pos="1418"/>
        </w:tabs>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Esta estruturação não implica uma segmentarização absoluta entre estes subprincípios. </w:t>
      </w:r>
      <w:r w:rsidRPr="00060270">
        <w:rPr>
          <w:rFonts w:ascii="Garamond" w:hAnsi="Garamond"/>
          <w:smallCaps/>
          <w:color w:val="auto"/>
          <w:sz w:val="20"/>
          <w:lang w:val="pt-PT"/>
        </w:rPr>
        <w:t>Rei Novais</w:t>
      </w:r>
      <w:r w:rsidRPr="00060270">
        <w:rPr>
          <w:rFonts w:ascii="Garamond" w:hAnsi="Garamond"/>
          <w:color w:val="auto"/>
          <w:sz w:val="20"/>
          <w:lang w:val="pt-PT"/>
        </w:rPr>
        <w:t xml:space="preserve">, por exemplo, bem explica que, «na prática, a verificação de proporcionalidade raramente se centra exclusivamente no meio e no fim concretos, surgindo, antes, combinada com o controlo de indispensabilidade no quadro de uma ponderação mais global de vantagens e desvantagens» (cfr. </w:t>
      </w:r>
      <w:r w:rsidRPr="00060270">
        <w:rPr>
          <w:rFonts w:ascii="Garamond" w:hAnsi="Garamond"/>
          <w:smallCaps/>
          <w:color w:val="auto"/>
          <w:sz w:val="20"/>
          <w:lang w:val="pt-PT"/>
        </w:rPr>
        <w:t>Reis Novais</w:t>
      </w:r>
      <w:r w:rsidRPr="00060270">
        <w:rPr>
          <w:rFonts w:ascii="Garamond" w:hAnsi="Garamond"/>
          <w:color w:val="auto"/>
          <w:sz w:val="20"/>
          <w:lang w:val="pt-PT"/>
        </w:rPr>
        <w:t xml:space="preserve">, </w:t>
      </w:r>
      <w:r w:rsidRPr="00060270">
        <w:rPr>
          <w:rFonts w:ascii="Garamond" w:hAnsi="Garamond"/>
          <w:i/>
          <w:color w:val="auto"/>
          <w:sz w:val="20"/>
          <w:lang w:val="pt-PT"/>
        </w:rPr>
        <w:t>As restrições…</w:t>
      </w:r>
      <w:r w:rsidRPr="00060270">
        <w:rPr>
          <w:rFonts w:ascii="Garamond" w:hAnsi="Garamond"/>
          <w:color w:val="auto"/>
          <w:sz w:val="20"/>
          <w:lang w:val="pt-PT"/>
        </w:rPr>
        <w:t>, cit., p. 761).</w:t>
      </w:r>
    </w:p>
  </w:footnote>
  <w:footnote w:id="27">
    <w:p w:rsidR="000E1A59" w:rsidRDefault="000E1A59" w:rsidP="002214EA">
      <w:pPr>
        <w:pStyle w:val="FootnoteText"/>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Este </w:t>
      </w:r>
      <w:r w:rsidRPr="00060270">
        <w:rPr>
          <w:rFonts w:ascii="Garamond" w:hAnsi="Garamond"/>
          <w:i/>
          <w:color w:val="auto"/>
          <w:sz w:val="20"/>
          <w:lang w:val="pt-PT"/>
        </w:rPr>
        <w:t>test</w:t>
      </w:r>
      <w:r w:rsidRPr="00060270">
        <w:rPr>
          <w:rFonts w:ascii="Garamond" w:hAnsi="Garamond"/>
          <w:color w:val="auto"/>
          <w:sz w:val="20"/>
          <w:lang w:val="pt-PT"/>
        </w:rPr>
        <w:t xml:space="preserve"> «baseia-se na premissa de que o uso do meio legal </w:t>
      </w:r>
      <w:r w:rsidRPr="00060270">
        <w:rPr>
          <w:rFonts w:ascii="Garamond" w:hAnsi="Garamond"/>
          <w:sz w:val="20"/>
          <w:lang w:val="pt-PT"/>
        </w:rPr>
        <w:t>—</w:t>
      </w:r>
      <w:r w:rsidRPr="00060270">
        <w:rPr>
          <w:rFonts w:ascii="Garamond" w:hAnsi="Garamond"/>
          <w:color w:val="auto"/>
          <w:sz w:val="20"/>
          <w:lang w:val="pt-PT"/>
        </w:rPr>
        <w:t xml:space="preserve"> ou a necessidade de usar tal meio </w:t>
      </w:r>
      <w:r w:rsidRPr="00060270">
        <w:rPr>
          <w:rFonts w:ascii="Garamond" w:hAnsi="Garamond"/>
          <w:sz w:val="20"/>
          <w:lang w:val="pt-PT"/>
        </w:rPr>
        <w:t>—</w:t>
      </w:r>
      <w:r w:rsidRPr="00060270">
        <w:rPr>
          <w:rFonts w:ascii="Garamond" w:hAnsi="Garamond"/>
          <w:color w:val="auto"/>
          <w:sz w:val="20"/>
          <w:lang w:val="pt-PT"/>
        </w:rPr>
        <w:t xml:space="preserve"> é apenas requerida se o propósito não puder ser alcançado através de outro (hipotético) meio legislativo, que possa igualmente satisfazer o test da adequação e o nível da restrição do direito em questão seja inferior». Não implica, contudo, a necessidade de uma «restrição mínima», mas apenas a existência de outros meios de restrição que sejam menos restritivos. É, assim, possível identificar dois pressupostos no âmbito do subprincípio da necessidade: </w:t>
      </w:r>
      <w:r w:rsidRPr="00060270">
        <w:rPr>
          <w:rFonts w:ascii="Garamond" w:hAnsi="Garamond"/>
          <w:i/>
          <w:color w:val="auto"/>
          <w:sz w:val="20"/>
          <w:lang w:val="pt-PT"/>
        </w:rPr>
        <w:t>(i)</w:t>
      </w:r>
      <w:r w:rsidRPr="00060270">
        <w:rPr>
          <w:rFonts w:ascii="Garamond" w:hAnsi="Garamond"/>
          <w:color w:val="auto"/>
          <w:sz w:val="20"/>
          <w:lang w:val="pt-PT"/>
        </w:rPr>
        <w:t xml:space="preserve"> a existência de meios alternativos; e </w:t>
      </w:r>
      <w:r w:rsidRPr="00060270">
        <w:rPr>
          <w:rFonts w:ascii="Garamond" w:hAnsi="Garamond"/>
          <w:i/>
          <w:color w:val="auto"/>
          <w:sz w:val="20"/>
          <w:lang w:val="pt-PT"/>
        </w:rPr>
        <w:t>(ii)</w:t>
      </w:r>
      <w:r w:rsidRPr="00060270">
        <w:rPr>
          <w:rFonts w:ascii="Garamond" w:hAnsi="Garamond"/>
          <w:color w:val="auto"/>
          <w:sz w:val="20"/>
          <w:lang w:val="pt-PT"/>
        </w:rPr>
        <w:t xml:space="preserve"> que os meios alternativo</w:t>
      </w:r>
      <w:r>
        <w:rPr>
          <w:rFonts w:ascii="Garamond" w:hAnsi="Garamond"/>
          <w:color w:val="auto"/>
          <w:sz w:val="20"/>
          <w:lang w:val="pt-PT"/>
        </w:rPr>
        <w:t>s sejam menos restritivos (</w:t>
      </w:r>
      <w:r w:rsidRPr="00060270">
        <w:rPr>
          <w:rFonts w:ascii="Garamond" w:hAnsi="Garamond"/>
          <w:smallCaps/>
          <w:color w:val="auto"/>
          <w:sz w:val="20"/>
          <w:lang w:val="pt-PT"/>
        </w:rPr>
        <w:t>Aharon Barak</w:t>
      </w:r>
      <w:r>
        <w:rPr>
          <w:rFonts w:ascii="Garamond" w:hAnsi="Garamond"/>
          <w:color w:val="auto"/>
          <w:sz w:val="20"/>
          <w:lang w:val="pt-PT"/>
        </w:rPr>
        <w:t>,</w:t>
      </w:r>
      <w:r w:rsidRPr="00060270">
        <w:rPr>
          <w:rFonts w:ascii="Garamond" w:hAnsi="Garamond"/>
          <w:color w:val="auto"/>
          <w:sz w:val="20"/>
          <w:lang w:val="pt-PT"/>
        </w:rPr>
        <w:t xml:space="preserve"> </w:t>
      </w:r>
      <w:r w:rsidRPr="00060270">
        <w:rPr>
          <w:rFonts w:ascii="Garamond" w:eastAsia="SimSun" w:hAnsi="Garamond"/>
          <w:smallCaps/>
          <w:color w:val="auto"/>
          <w:sz w:val="20"/>
          <w:lang w:val="pt-PT" w:eastAsia="pt-PT"/>
        </w:rPr>
        <w:t>Bernal Pulido</w:t>
      </w:r>
      <w:r w:rsidRPr="00060270">
        <w:rPr>
          <w:rFonts w:ascii="Garamond" w:hAnsi="Garamond"/>
          <w:color w:val="auto"/>
          <w:sz w:val="20"/>
          <w:lang w:val="pt-PT"/>
        </w:rPr>
        <w:t>).</w:t>
      </w:r>
    </w:p>
  </w:footnote>
  <w:footnote w:id="28">
    <w:p w:rsidR="000E1A59" w:rsidRDefault="000E1A59" w:rsidP="002214EA">
      <w:pPr>
        <w:pStyle w:val="FootnoteText"/>
        <w:spacing w:after="0" w:line="240" w:lineRule="auto"/>
        <w:ind w:firstLine="720"/>
      </w:pPr>
      <w:r w:rsidRPr="00060270">
        <w:rPr>
          <w:rStyle w:val="FootnoteReference"/>
          <w:rFonts w:ascii="Garamond" w:hAnsi="Garamond"/>
          <w:color w:val="auto"/>
          <w:sz w:val="20"/>
        </w:rPr>
        <w:footnoteRef/>
      </w:r>
      <w:r w:rsidRPr="00060270">
        <w:rPr>
          <w:rFonts w:ascii="Garamond" w:hAnsi="Garamond"/>
          <w:color w:val="auto"/>
          <w:sz w:val="20"/>
          <w:lang w:val="pt-PT"/>
        </w:rPr>
        <w:t xml:space="preserve"> O princípio da necessidade, considerado por muitos como o «coração da proporcionalidade», afigura-se extremamente importante ao «aferir, enquanto examina a prognose e o background factual da lei, se o propósito da lei foi conseguido através do meio menos restritivo para o direito fundamental em causa». Por sua vez, também examina de forma incidental «se o que foi apresentado como o propósito da lei é o seu verdadeiro propósito». </w:t>
      </w:r>
      <w:r w:rsidRPr="003D05D7">
        <w:rPr>
          <w:rFonts w:ascii="Garamond" w:hAnsi="Garamond"/>
          <w:color w:val="auto"/>
          <w:sz w:val="20"/>
          <w:lang w:val="pt-PT"/>
        </w:rPr>
        <w:t>Se este exame tem um aspecto valorativo, não se trata, ainda assim, de uma ponderação (</w:t>
      </w:r>
      <w:r w:rsidRPr="003D05D7">
        <w:rPr>
          <w:rFonts w:ascii="Garamond" w:hAnsi="Garamond"/>
          <w:smallCaps/>
          <w:color w:val="auto"/>
          <w:sz w:val="20"/>
          <w:lang w:val="pt-PT"/>
        </w:rPr>
        <w:t>Bernhard Schlink</w:t>
      </w:r>
      <w:r w:rsidRPr="003D05D7">
        <w:rPr>
          <w:rFonts w:ascii="Garamond" w:hAnsi="Garamond" w:cs="Arial"/>
          <w:color w:val="auto"/>
          <w:sz w:val="20"/>
          <w:shd w:val="clear" w:color="auto" w:fill="FFFFFF"/>
          <w:lang w:val="pt-PT"/>
        </w:rPr>
        <w:t xml:space="preserve">; </w:t>
      </w:r>
      <w:r w:rsidRPr="003D05D7">
        <w:rPr>
          <w:rFonts w:ascii="Garamond" w:hAnsi="Garamond" w:cs="Arial"/>
          <w:smallCaps/>
          <w:color w:val="auto"/>
          <w:sz w:val="20"/>
          <w:shd w:val="clear" w:color="auto" w:fill="FFFFFF"/>
          <w:lang w:val="pt-PT"/>
        </w:rPr>
        <w:t>Julian Rivers</w:t>
      </w:r>
      <w:r w:rsidRPr="003D05D7">
        <w:rPr>
          <w:rFonts w:ascii="Garamond" w:hAnsi="Garamond"/>
          <w:color w:val="auto"/>
          <w:sz w:val="20"/>
          <w:lang w:val="pt-PT"/>
        </w:rPr>
        <w:t xml:space="preserve">). </w:t>
      </w:r>
      <w:r w:rsidRPr="00060270">
        <w:rPr>
          <w:rFonts w:ascii="Garamond" w:hAnsi="Garamond"/>
          <w:color w:val="auto"/>
          <w:sz w:val="20"/>
          <w:lang w:val="pt-PT"/>
        </w:rPr>
        <w:t xml:space="preserve">Deste modo, por exemplo, «quando a examinação revela que o meio menos restritivo pode restringir outo direito da pessoa em questão, ou os direitos de outras pessoas, ou o interesse público, então a necessidade não ajuda a resolver o dilema </w:t>
      </w:r>
      <w:r w:rsidRPr="003D05D7">
        <w:rPr>
          <w:rFonts w:ascii="Garamond" w:hAnsi="Garamond"/>
          <w:color w:val="auto"/>
          <w:sz w:val="20"/>
          <w:lang w:val="pt-PT"/>
        </w:rPr>
        <w:t>perante o tribunal»; o mesmo se diga daqueles casos em que «existe um meio alternativo menos restritivo, mas o avanço do propósito da lei é menor do que o da lei limitadora</w:t>
      </w:r>
      <w:r>
        <w:rPr>
          <w:rFonts w:ascii="Garamond" w:hAnsi="Garamond"/>
          <w:color w:val="auto"/>
          <w:sz w:val="20"/>
          <w:lang w:val="pt-PT"/>
        </w:rPr>
        <w:t xml:space="preserve"> (</w:t>
      </w:r>
      <w:r w:rsidRPr="003D05D7">
        <w:rPr>
          <w:rFonts w:ascii="Garamond" w:hAnsi="Garamond"/>
          <w:smallCaps/>
          <w:color w:val="auto"/>
          <w:sz w:val="20"/>
          <w:lang w:val="pt-PT"/>
        </w:rPr>
        <w:t>Aharon Barak</w:t>
      </w:r>
      <w:r w:rsidRPr="003D05D7">
        <w:rPr>
          <w:rFonts w:ascii="Garamond" w:hAnsi="Garamond"/>
          <w:color w:val="auto"/>
          <w:sz w:val="20"/>
          <w:lang w:val="pt-PT"/>
        </w:rPr>
        <w:t>).</w:t>
      </w:r>
      <w:r w:rsidRPr="00060270">
        <w:rPr>
          <w:rFonts w:ascii="Garamond" w:hAnsi="Garamond"/>
          <w:color w:val="auto"/>
          <w:sz w:val="20"/>
          <w:lang w:val="pt-P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113"/>
    <w:multiLevelType w:val="hybridMultilevel"/>
    <w:tmpl w:val="1C9AC756"/>
    <w:lvl w:ilvl="0" w:tplc="429E3CF0">
      <w:start w:val="1"/>
      <w:numFmt w:val="lowerRoman"/>
      <w:lvlText w:val="(%1)"/>
      <w:lvlJc w:val="left"/>
      <w:pPr>
        <w:ind w:left="1429" w:hanging="720"/>
      </w:pPr>
      <w:rPr>
        <w:rFonts w:cs="Times New Roman" w:hint="default"/>
        <w:i/>
      </w:rPr>
    </w:lvl>
    <w:lvl w:ilvl="1" w:tplc="08160019" w:tentative="1">
      <w:start w:val="1"/>
      <w:numFmt w:val="lowerLetter"/>
      <w:lvlText w:val="%2."/>
      <w:lvlJc w:val="left"/>
      <w:pPr>
        <w:ind w:left="1789" w:hanging="360"/>
      </w:pPr>
      <w:rPr>
        <w:rFonts w:cs="Times New Roman"/>
      </w:rPr>
    </w:lvl>
    <w:lvl w:ilvl="2" w:tplc="0816001B" w:tentative="1">
      <w:start w:val="1"/>
      <w:numFmt w:val="lowerRoman"/>
      <w:lvlText w:val="%3."/>
      <w:lvlJc w:val="right"/>
      <w:pPr>
        <w:ind w:left="2509" w:hanging="180"/>
      </w:pPr>
      <w:rPr>
        <w:rFonts w:cs="Times New Roman"/>
      </w:rPr>
    </w:lvl>
    <w:lvl w:ilvl="3" w:tplc="0816000F" w:tentative="1">
      <w:start w:val="1"/>
      <w:numFmt w:val="decimal"/>
      <w:lvlText w:val="%4."/>
      <w:lvlJc w:val="left"/>
      <w:pPr>
        <w:ind w:left="3229" w:hanging="360"/>
      </w:pPr>
      <w:rPr>
        <w:rFonts w:cs="Times New Roman"/>
      </w:rPr>
    </w:lvl>
    <w:lvl w:ilvl="4" w:tplc="08160019" w:tentative="1">
      <w:start w:val="1"/>
      <w:numFmt w:val="lowerLetter"/>
      <w:lvlText w:val="%5."/>
      <w:lvlJc w:val="left"/>
      <w:pPr>
        <w:ind w:left="3949" w:hanging="360"/>
      </w:pPr>
      <w:rPr>
        <w:rFonts w:cs="Times New Roman"/>
      </w:rPr>
    </w:lvl>
    <w:lvl w:ilvl="5" w:tplc="0816001B" w:tentative="1">
      <w:start w:val="1"/>
      <w:numFmt w:val="lowerRoman"/>
      <w:lvlText w:val="%6."/>
      <w:lvlJc w:val="right"/>
      <w:pPr>
        <w:ind w:left="4669" w:hanging="180"/>
      </w:pPr>
      <w:rPr>
        <w:rFonts w:cs="Times New Roman"/>
      </w:rPr>
    </w:lvl>
    <w:lvl w:ilvl="6" w:tplc="0816000F" w:tentative="1">
      <w:start w:val="1"/>
      <w:numFmt w:val="decimal"/>
      <w:lvlText w:val="%7."/>
      <w:lvlJc w:val="left"/>
      <w:pPr>
        <w:ind w:left="5389" w:hanging="360"/>
      </w:pPr>
      <w:rPr>
        <w:rFonts w:cs="Times New Roman"/>
      </w:rPr>
    </w:lvl>
    <w:lvl w:ilvl="7" w:tplc="08160019" w:tentative="1">
      <w:start w:val="1"/>
      <w:numFmt w:val="lowerLetter"/>
      <w:lvlText w:val="%8."/>
      <w:lvlJc w:val="left"/>
      <w:pPr>
        <w:ind w:left="6109" w:hanging="360"/>
      </w:pPr>
      <w:rPr>
        <w:rFonts w:cs="Times New Roman"/>
      </w:rPr>
    </w:lvl>
    <w:lvl w:ilvl="8" w:tplc="0816001B" w:tentative="1">
      <w:start w:val="1"/>
      <w:numFmt w:val="lowerRoman"/>
      <w:lvlText w:val="%9."/>
      <w:lvlJc w:val="right"/>
      <w:pPr>
        <w:ind w:left="6829" w:hanging="180"/>
      </w:pPr>
      <w:rPr>
        <w:rFonts w:cs="Times New Roman"/>
      </w:rPr>
    </w:lvl>
  </w:abstractNum>
  <w:abstractNum w:abstractNumId="1">
    <w:nsid w:val="2B0229F0"/>
    <w:multiLevelType w:val="hybridMultilevel"/>
    <w:tmpl w:val="ACEC7A02"/>
    <w:lvl w:ilvl="0" w:tplc="4A922200">
      <w:start w:val="1"/>
      <w:numFmt w:val="upperLetter"/>
      <w:lvlText w:val="%1."/>
      <w:lvlJc w:val="left"/>
      <w:pPr>
        <w:ind w:left="720" w:hanging="360"/>
      </w:pPr>
      <w:rPr>
        <w:rFonts w:cs="Times New Roman" w:hint="default"/>
        <w:sz w:val="24"/>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nsid w:val="2B9D7200"/>
    <w:multiLevelType w:val="multilevel"/>
    <w:tmpl w:val="C45693A8"/>
    <w:lvl w:ilvl="0">
      <w:start w:val="1"/>
      <w:numFmt w:val="decimal"/>
      <w:lvlText w:val="%1."/>
      <w:lvlJc w:val="left"/>
      <w:pPr>
        <w:tabs>
          <w:tab w:val="num" w:pos="0"/>
        </w:tabs>
        <w:ind w:left="360" w:hanging="360"/>
      </w:pPr>
      <w:rPr>
        <w:rFonts w:ascii="Garamond" w:hAnsi="Garamond" w:cs="Times New Roman" w:hint="default"/>
        <w:b w:val="0"/>
        <w:i w:val="0"/>
        <w:color w:val="auto"/>
        <w:sz w:val="24"/>
        <w:szCs w:val="24"/>
      </w:rPr>
    </w:lvl>
    <w:lvl w:ilvl="1">
      <w:start w:val="1"/>
      <w:numFmt w:val="decimal"/>
      <w:lvlText w:val="%2.2."/>
      <w:lvlJc w:val="left"/>
      <w:pPr>
        <w:tabs>
          <w:tab w:val="num" w:pos="0"/>
        </w:tabs>
        <w:ind w:left="792" w:hanging="432"/>
      </w:pPr>
      <w:rPr>
        <w:rFonts w:cs="Times New Roman" w:hint="default"/>
        <w:b/>
        <w:i w:val="0"/>
      </w:rPr>
    </w:lvl>
    <w:lvl w:ilvl="2">
      <w:start w:val="1"/>
      <w:numFmt w:val="decimal"/>
      <w:lvlText w:val="%3.2.1."/>
      <w:lvlJc w:val="left"/>
      <w:pPr>
        <w:tabs>
          <w:tab w:val="num" w:pos="0"/>
        </w:tabs>
        <w:ind w:left="1224" w:hanging="504"/>
      </w:pPr>
      <w:rPr>
        <w:rFonts w:cs="Times New Roman" w:hint="default"/>
        <w:b/>
        <w:i w:val="0"/>
      </w:rPr>
    </w:lvl>
    <w:lvl w:ilvl="3">
      <w:start w:val="1"/>
      <w:numFmt w:val="decimal"/>
      <w:lvlText w:val="%4.2.2."/>
      <w:lvlJc w:val="left"/>
      <w:pPr>
        <w:tabs>
          <w:tab w:val="num" w:pos="0"/>
        </w:tabs>
        <w:ind w:left="1728" w:hanging="648"/>
      </w:pPr>
      <w:rPr>
        <w:rFonts w:cs="Times New Roman" w:hint="default"/>
        <w:b/>
        <w:i w:val="0"/>
      </w:rPr>
    </w:lvl>
    <w:lvl w:ilvl="4">
      <w:start w:val="1"/>
      <w:numFmt w:val="decimal"/>
      <w:lvlText w:val="%5.2.2."/>
      <w:lvlJc w:val="left"/>
      <w:pPr>
        <w:tabs>
          <w:tab w:val="num" w:pos="0"/>
        </w:tabs>
        <w:ind w:left="2232" w:hanging="792"/>
      </w:pPr>
      <w:rPr>
        <w:rFonts w:cs="Times New Roman" w:hint="default"/>
        <w:b/>
        <w:i w:val="0"/>
      </w:rPr>
    </w:lvl>
    <w:lvl w:ilvl="5">
      <w:start w:val="1"/>
      <w:numFmt w:val="decimal"/>
      <w:lvlText w:val="%1.%2.%3.%4.%5.%6."/>
      <w:lvlJc w:val="left"/>
      <w:pPr>
        <w:tabs>
          <w:tab w:val="num" w:pos="0"/>
        </w:tabs>
        <w:ind w:left="2736" w:hanging="936"/>
      </w:pPr>
      <w:rPr>
        <w:rFonts w:cs="Times New Roman" w:hint="default"/>
        <w:b/>
        <w:i w:val="0"/>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777C1D67"/>
    <w:multiLevelType w:val="multilevel"/>
    <w:tmpl w:val="CE3C7F2E"/>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1429"/>
        </w:tabs>
        <w:ind w:left="1429" w:hanging="720"/>
      </w:pPr>
      <w:rPr>
        <w:rFonts w:cs="Times New Roman" w:hint="default"/>
        <w:i w:val="0"/>
        <w:sz w:val="24"/>
        <w:szCs w:val="24"/>
      </w:rPr>
    </w:lvl>
    <w:lvl w:ilvl="2">
      <w:start w:val="1"/>
      <w:numFmt w:val="decimal"/>
      <w:lvlText w:val="%1.%2.%3."/>
      <w:lvlJc w:val="left"/>
      <w:pPr>
        <w:tabs>
          <w:tab w:val="num" w:pos="2138"/>
        </w:tabs>
        <w:ind w:left="2138" w:hanging="720"/>
      </w:pPr>
      <w:rPr>
        <w:rFonts w:cs="Times New Roman" w:hint="default"/>
        <w:i w:val="0"/>
        <w:sz w:val="24"/>
        <w:szCs w:val="24"/>
      </w:rPr>
    </w:lvl>
    <w:lvl w:ilvl="3">
      <w:start w:val="1"/>
      <w:numFmt w:val="decimal"/>
      <w:lvlText w:val="%1.%2.%3.%4."/>
      <w:lvlJc w:val="left"/>
      <w:pPr>
        <w:tabs>
          <w:tab w:val="num" w:pos="3207"/>
        </w:tabs>
        <w:ind w:left="3207" w:hanging="1080"/>
      </w:pPr>
      <w:rPr>
        <w:rFonts w:cs="Times New Roman" w:hint="default"/>
        <w:sz w:val="24"/>
        <w:szCs w:val="24"/>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4EA"/>
    <w:rsid w:val="00060270"/>
    <w:rsid w:val="000E1A59"/>
    <w:rsid w:val="001D5DDC"/>
    <w:rsid w:val="001E7EDA"/>
    <w:rsid w:val="001F2A8C"/>
    <w:rsid w:val="0021164C"/>
    <w:rsid w:val="002214EA"/>
    <w:rsid w:val="00320BB2"/>
    <w:rsid w:val="003520AF"/>
    <w:rsid w:val="003D05D7"/>
    <w:rsid w:val="00464666"/>
    <w:rsid w:val="004B32BC"/>
    <w:rsid w:val="004F4E64"/>
    <w:rsid w:val="007004CC"/>
    <w:rsid w:val="00774020"/>
    <w:rsid w:val="008E51BD"/>
    <w:rsid w:val="00901BCD"/>
    <w:rsid w:val="009030A6"/>
    <w:rsid w:val="009D5D7E"/>
    <w:rsid w:val="009F5CC6"/>
    <w:rsid w:val="00B2704F"/>
    <w:rsid w:val="00B93191"/>
    <w:rsid w:val="00D84006"/>
    <w:rsid w:val="00ED1C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EA"/>
    <w:pPr>
      <w:spacing w:after="120" w:line="300" w:lineRule="atLeast"/>
      <w:jc w:val="both"/>
    </w:pPr>
    <w:rPr>
      <w:rFonts w:ascii="Arial" w:eastAsia="Times New Roman" w:hAnsi="Arial"/>
      <w:color w:val="404040"/>
      <w:sz w:val="18"/>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ef,de nota al pie,Appel note de bas de page,Footnotes refss"/>
    <w:basedOn w:val="DefaultParagraphFont"/>
    <w:uiPriority w:val="99"/>
    <w:rsid w:val="002214EA"/>
    <w:rPr>
      <w:rFonts w:cs="Times New Roman"/>
      <w:vertAlign w:val="superscript"/>
    </w:rPr>
  </w:style>
  <w:style w:type="paragraph" w:styleId="FootnoteText">
    <w:name w:val="footnote text"/>
    <w:aliases w:val="LT Footnote"/>
    <w:basedOn w:val="Normal"/>
    <w:link w:val="FootnoteTextChar"/>
    <w:uiPriority w:val="99"/>
    <w:rsid w:val="002214EA"/>
    <w:rPr>
      <w:sz w:val="16"/>
    </w:rPr>
  </w:style>
  <w:style w:type="character" w:customStyle="1" w:styleId="FootnoteTextChar">
    <w:name w:val="Footnote Text Char"/>
    <w:aliases w:val="LT Footnote Char"/>
    <w:basedOn w:val="DefaultParagraphFont"/>
    <w:link w:val="FootnoteText"/>
    <w:uiPriority w:val="99"/>
    <w:locked/>
    <w:rsid w:val="002214EA"/>
    <w:rPr>
      <w:rFonts w:ascii="Arial" w:hAnsi="Arial" w:cs="Times New Roman"/>
      <w:color w:val="404040"/>
      <w:sz w:val="20"/>
      <w:szCs w:val="20"/>
      <w:lang w:val="en-GB"/>
    </w:rPr>
  </w:style>
  <w:style w:type="paragraph" w:customStyle="1" w:styleId="Title1">
    <w:name w:val="Title 1"/>
    <w:basedOn w:val="Normal"/>
    <w:uiPriority w:val="99"/>
    <w:rsid w:val="002214EA"/>
    <w:pPr>
      <w:spacing w:after="240"/>
    </w:pPr>
    <w:rPr>
      <w:b/>
      <w:sz w:val="20"/>
      <w:szCs w:val="22"/>
    </w:rPr>
  </w:style>
  <w:style w:type="character" w:styleId="Emphasis">
    <w:name w:val="Emphasis"/>
    <w:basedOn w:val="DefaultParagraphFont"/>
    <w:uiPriority w:val="99"/>
    <w:qFormat/>
    <w:rsid w:val="002214EA"/>
    <w:rPr>
      <w:rFonts w:cs="Times New Roman"/>
      <w:i/>
      <w:iCs/>
    </w:rPr>
  </w:style>
  <w:style w:type="character" w:customStyle="1" w:styleId="titulo">
    <w:name w:val="titulo"/>
    <w:basedOn w:val="DefaultParagraphFont"/>
    <w:uiPriority w:val="99"/>
    <w:rsid w:val="002214EA"/>
    <w:rPr>
      <w:rFonts w:cs="Times New Roman"/>
    </w:rPr>
  </w:style>
  <w:style w:type="character" w:customStyle="1" w:styleId="titulo1">
    <w:name w:val="titulo1"/>
    <w:basedOn w:val="DefaultParagraphFont"/>
    <w:uiPriority w:val="99"/>
    <w:rsid w:val="002214EA"/>
    <w:rPr>
      <w:rFonts w:ascii="Verdana" w:hAnsi="Verdana" w:cs="Times New Roman"/>
      <w:b/>
      <w:bCs/>
      <w:color w:val="007B94"/>
      <w:sz w:val="18"/>
      <w:szCs w:val="18"/>
    </w:rPr>
  </w:style>
  <w:style w:type="character" w:customStyle="1" w:styleId="producttitulo">
    <w:name w:val="product_titulo"/>
    <w:basedOn w:val="DefaultParagraphFont"/>
    <w:uiPriority w:val="99"/>
    <w:rsid w:val="002214EA"/>
    <w:rPr>
      <w:rFonts w:cs="Times New Roman"/>
    </w:rPr>
  </w:style>
  <w:style w:type="character" w:customStyle="1" w:styleId="apple-converted-space">
    <w:name w:val="apple-converted-space"/>
    <w:basedOn w:val="DefaultParagraphFont"/>
    <w:uiPriority w:val="99"/>
    <w:rsid w:val="002214EA"/>
    <w:rPr>
      <w:rFonts w:cs="Times New Roman"/>
    </w:rPr>
  </w:style>
  <w:style w:type="paragraph" w:styleId="ListParagraph">
    <w:name w:val="List Paragraph"/>
    <w:basedOn w:val="Normal"/>
    <w:uiPriority w:val="99"/>
    <w:qFormat/>
    <w:rsid w:val="002214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2084</Words>
  <Characters>11883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PRINCÍPIO DA PROPORCIONALIDADE</dc:title>
  <dc:subject/>
  <dc:creator>jorge</dc:creator>
  <cp:keywords/>
  <dc:description/>
  <cp:lastModifiedBy>JVMatos</cp:lastModifiedBy>
  <cp:revision>2</cp:revision>
  <dcterms:created xsi:type="dcterms:W3CDTF">2013-03-18T09:34:00Z</dcterms:created>
  <dcterms:modified xsi:type="dcterms:W3CDTF">2013-03-18T09:34:00Z</dcterms:modified>
</cp:coreProperties>
</file>