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F3" w:rsidRDefault="006323F3" w:rsidP="00703204">
      <w:pPr>
        <w:spacing w:line="360" w:lineRule="auto"/>
        <w:jc w:val="center"/>
        <w:rPr>
          <w:rFonts w:ascii="Lucida Grande" w:hAnsi="Lucida Grande"/>
          <w:b/>
        </w:rPr>
      </w:pPr>
      <w:bookmarkStart w:id="0" w:name="_GoBack"/>
      <w:bookmarkEnd w:id="0"/>
    </w:p>
    <w:p w:rsidR="006323F3" w:rsidRDefault="006323F3" w:rsidP="00703204">
      <w:pPr>
        <w:spacing w:line="360" w:lineRule="auto"/>
        <w:jc w:val="center"/>
        <w:rPr>
          <w:rFonts w:ascii="Lucida Grande" w:hAnsi="Lucida Grande"/>
          <w:b/>
        </w:rPr>
      </w:pPr>
    </w:p>
    <w:p w:rsidR="008818CD" w:rsidRDefault="00703204" w:rsidP="008818CD">
      <w:pPr>
        <w:spacing w:line="360" w:lineRule="auto"/>
        <w:jc w:val="center"/>
        <w:outlineLvl w:val="0"/>
        <w:rPr>
          <w:rFonts w:ascii="Lucida Grande" w:hAnsi="Lucida Grande"/>
          <w:b/>
        </w:rPr>
      </w:pPr>
      <w:r w:rsidRPr="00703204">
        <w:rPr>
          <w:rFonts w:ascii="Lucida Grande" w:hAnsi="Lucida Grande"/>
          <w:b/>
        </w:rPr>
        <w:t>Caso prático 4</w:t>
      </w:r>
    </w:p>
    <w:p w:rsidR="00703204" w:rsidRPr="008818CD" w:rsidRDefault="008818CD" w:rsidP="008818CD">
      <w:pPr>
        <w:spacing w:line="360" w:lineRule="auto"/>
        <w:jc w:val="center"/>
        <w:outlineLvl w:val="0"/>
        <w:rPr>
          <w:rFonts w:ascii="Lucida Grande" w:hAnsi="Lucida Grande"/>
          <w:b/>
          <w:u w:val="single"/>
        </w:rPr>
      </w:pPr>
      <w:r>
        <w:rPr>
          <w:rFonts w:ascii="Lucida Grande" w:hAnsi="Lucida Grande"/>
          <w:b/>
          <w:u w:val="single"/>
        </w:rPr>
        <w:t xml:space="preserve">Tópicos </w:t>
      </w:r>
      <w:r w:rsidR="004C558B">
        <w:rPr>
          <w:rFonts w:ascii="Lucida Grande" w:hAnsi="Lucida Grande"/>
          <w:b/>
          <w:u w:val="single"/>
        </w:rPr>
        <w:t xml:space="preserve">fundamentais </w:t>
      </w:r>
      <w:r>
        <w:rPr>
          <w:rFonts w:ascii="Lucida Grande" w:hAnsi="Lucida Grande"/>
          <w:b/>
          <w:u w:val="single"/>
        </w:rPr>
        <w:t>de resolução</w:t>
      </w:r>
    </w:p>
    <w:p w:rsidR="00703204" w:rsidRDefault="00703204" w:rsidP="008818CD">
      <w:pPr>
        <w:spacing w:line="360" w:lineRule="auto"/>
        <w:rPr>
          <w:rFonts w:ascii="Lucida Grande" w:hAnsi="Lucida Grande"/>
        </w:rPr>
      </w:pPr>
    </w:p>
    <w:p w:rsidR="008818CD" w:rsidRDefault="00703204" w:rsidP="00703204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</w:rPr>
        <w:tab/>
      </w:r>
      <w:r>
        <w:rPr>
          <w:rFonts w:ascii="Lucida Grande" w:hAnsi="Lucida Grande"/>
          <w:sz w:val="20"/>
        </w:rPr>
        <w:t>Em Maio de 2010, a Assembleia da República (AR) concedeu ao Governo uma autorização legislativa para que este alterasse o regime de bases da função pública, no sentido de criar um tipo único de vínculo para todos os trabalhadores da administração pública.</w:t>
      </w:r>
    </w:p>
    <w:p w:rsidR="008818CD" w:rsidRDefault="008818CD" w:rsidP="008818C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Identificação da matéria em</w:t>
      </w:r>
      <w:r w:rsidR="00057C83">
        <w:rPr>
          <w:rFonts w:ascii="Lucida Grande" w:hAnsi="Lucida Grande"/>
          <w:i/>
          <w:sz w:val="18"/>
        </w:rPr>
        <w:t xml:space="preserve"> termos de reserva de lei (art.</w:t>
      </w:r>
      <w:r>
        <w:rPr>
          <w:rFonts w:ascii="Lucida Grande" w:hAnsi="Lucida Grande"/>
          <w:i/>
          <w:sz w:val="18"/>
        </w:rPr>
        <w:t xml:space="preserve"> 165.º, n.º 1, al. t));</w:t>
      </w:r>
    </w:p>
    <w:p w:rsidR="008818CD" w:rsidRDefault="008818CD" w:rsidP="008818C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reserva governamental de iniciativa de autorizações legislativas;</w:t>
      </w:r>
    </w:p>
    <w:p w:rsidR="00703204" w:rsidRPr="008818CD" w:rsidRDefault="004C558B" w:rsidP="008818C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possibilidade de autorizações legislativas para a aprovação de decretos-leis autorizados de bases, e o valor reforçado destes.</w:t>
      </w:r>
    </w:p>
    <w:p w:rsidR="004C558B" w:rsidRDefault="00703204" w:rsidP="00703204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  <w:t>O Governo aprovou dois decretos-leis sobre a matéria</w:t>
      </w:r>
      <w:r w:rsidR="00A83BCC">
        <w:rPr>
          <w:rFonts w:ascii="Lucida Grande" w:hAnsi="Lucida Grande"/>
          <w:sz w:val="20"/>
        </w:rPr>
        <w:t>, o primeiro passado um mês, e o segundo passados dois meses. Mas demorou muito a aprovar os decretos-leis de desenvolvimento, pelo que a AR, considerando que o respectivo prazo havia sido desrespeitado, aprovou ela mesma os ditos regimes.</w:t>
      </w:r>
    </w:p>
    <w:p w:rsidR="00057C83" w:rsidRDefault="00057C83" w:rsidP="00057C8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 xml:space="preserve">A possibilidade </w:t>
      </w:r>
      <w:r w:rsidR="00D510F0">
        <w:rPr>
          <w:rFonts w:ascii="Lucida Grande" w:hAnsi="Lucida Grande"/>
          <w:i/>
          <w:sz w:val="18"/>
        </w:rPr>
        <w:t>e a problemática da</w:t>
      </w:r>
      <w:r>
        <w:rPr>
          <w:rFonts w:ascii="Lucida Grande" w:hAnsi="Lucida Grande"/>
          <w:i/>
          <w:sz w:val="18"/>
        </w:rPr>
        <w:t xml:space="preserve"> execução parcelada das autorizações l</w:t>
      </w:r>
      <w:r w:rsidR="00D510F0">
        <w:rPr>
          <w:rFonts w:ascii="Lucida Grande" w:hAnsi="Lucida Grande"/>
          <w:i/>
          <w:sz w:val="18"/>
        </w:rPr>
        <w:t>egislativas (art. 165.º, n.º 3): o prazo e o objecto;</w:t>
      </w:r>
    </w:p>
    <w:p w:rsidR="00D510F0" w:rsidRDefault="00D510F0" w:rsidP="00057C8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razoabilidade de dois regimes de bases sobre a mesma matéria e a necessidade de objectos diferentes;</w:t>
      </w:r>
    </w:p>
    <w:p w:rsidR="00424651" w:rsidRDefault="00424651" w:rsidP="00057C8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ausência de prazo para o desenvolvimento de regimes de bases;</w:t>
      </w:r>
    </w:p>
    <w:p w:rsidR="00424651" w:rsidRDefault="00424651" w:rsidP="00057C8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inexistência de ilegalidade por omissão (art. 283.º);</w:t>
      </w:r>
    </w:p>
    <w:p w:rsidR="00A83BCC" w:rsidRPr="00057C83" w:rsidRDefault="00424651" w:rsidP="00057C8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competência da AR para desenvolver regimes de bases: o equacionar de reservas neste domínio.</w:t>
      </w:r>
    </w:p>
    <w:p w:rsidR="00424651" w:rsidRDefault="00A83BCC" w:rsidP="00703204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  <w:t xml:space="preserve">Passadas duas semanas, </w:t>
      </w:r>
      <w:r w:rsidR="00377E81">
        <w:rPr>
          <w:rFonts w:ascii="Lucida Grande" w:hAnsi="Lucida Grande"/>
          <w:sz w:val="20"/>
        </w:rPr>
        <w:t>o Governo aprovou finalmente um único decreto-lei de desenvolvimento, mas estabelecendo que os trabalhadores da administração pública poderiam ser contratados segundo dois tipos de vínculo diferentes.</w:t>
      </w:r>
    </w:p>
    <w:p w:rsidR="00254EA8" w:rsidRDefault="00DC48A6" w:rsidP="0042465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 xml:space="preserve">O efeito revogatório do decreto-lei sobre </w:t>
      </w:r>
      <w:r w:rsidR="00254EA8">
        <w:rPr>
          <w:rFonts w:ascii="Lucida Grande" w:hAnsi="Lucida Grande"/>
          <w:i/>
          <w:sz w:val="18"/>
        </w:rPr>
        <w:t>os regimes aprovados pela AR e a hipótese da respectiva relação com eventuais reservas de desenvolvimento;</w:t>
      </w:r>
    </w:p>
    <w:p w:rsidR="00377E81" w:rsidRPr="00254EA8" w:rsidRDefault="00254EA8" w:rsidP="00254EA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relação entre o decreto-lei de desenvolvimento e os decretos-leis de bases: o valor reforçado destes</w:t>
      </w:r>
    </w:p>
    <w:p w:rsidR="00254EA8" w:rsidRDefault="00377E81" w:rsidP="00703204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  <w:t>Considerando que esta situação era inadmissível, um grupo de cinco deputados do próprio partido do Governo requereu a apreciação parlamentar daquele último diploma governamental</w:t>
      </w:r>
      <w:r w:rsidR="00E01FF2">
        <w:rPr>
          <w:rFonts w:ascii="Lucida Grande" w:hAnsi="Lucida Grande"/>
          <w:sz w:val="20"/>
        </w:rPr>
        <w:t>, que acabou por ser revogado no fim do processo de apreciação parlamentar.</w:t>
      </w:r>
    </w:p>
    <w:p w:rsidR="00F940E2" w:rsidRDefault="00254EA8" w:rsidP="00254EA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 xml:space="preserve">A iniciativa da apreciação parlamentar (artigo </w:t>
      </w:r>
      <w:r w:rsidR="00F940E2">
        <w:rPr>
          <w:rFonts w:ascii="Lucida Grande" w:hAnsi="Lucida Grande"/>
          <w:i/>
          <w:sz w:val="18"/>
        </w:rPr>
        <w:t>169.º);</w:t>
      </w:r>
    </w:p>
    <w:p w:rsidR="00F940E2" w:rsidRDefault="00F940E2" w:rsidP="00254EA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Os decretos-leis que podem ser objecto de apreciação parlamentar;</w:t>
      </w:r>
    </w:p>
    <w:p w:rsidR="00E01FF2" w:rsidRPr="00254EA8" w:rsidRDefault="00F940E2" w:rsidP="00254EA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Os efeitos possíveis da apreciação parlamentar: tratar-se-ia de revogação</w:t>
      </w:r>
      <w:r w:rsidR="005E2C6F">
        <w:rPr>
          <w:rFonts w:ascii="Lucida Grande" w:hAnsi="Lucida Grande"/>
          <w:i/>
          <w:sz w:val="18"/>
        </w:rPr>
        <w:t>?</w:t>
      </w:r>
    </w:p>
    <w:p w:rsidR="005E2C6F" w:rsidRDefault="00E01FF2" w:rsidP="00703204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  <w:t xml:space="preserve">Entretanto, o Governo Regional dos Açores já aprovara um decreto legislativo regional de desenvolvimento do dito regime de bases, estabelecendo três diferentes </w:t>
      </w:r>
      <w:r>
        <w:rPr>
          <w:rFonts w:ascii="Lucida Grande" w:hAnsi="Lucida Grande"/>
          <w:sz w:val="20"/>
        </w:rPr>
        <w:lastRenderedPageBreak/>
        <w:t xml:space="preserve">categorias de vínculos para contratação de trabalhadores para a administração pública, </w:t>
      </w:r>
      <w:r w:rsidR="006323F3">
        <w:rPr>
          <w:rFonts w:ascii="Lucida Grande" w:hAnsi="Lucida Grande"/>
          <w:sz w:val="20"/>
        </w:rPr>
        <w:t>justificando-o com as especiais necessidades da Região Autónoma.</w:t>
      </w:r>
    </w:p>
    <w:p w:rsidR="005E2C6F" w:rsidRDefault="005E2C6F" w:rsidP="005E2C6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competência para a aprovação de decretos legislativos regionais;</w:t>
      </w:r>
    </w:p>
    <w:p w:rsidR="003D0A4D" w:rsidRDefault="003D0A4D" w:rsidP="005E2C6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competência regional de desenvolvimento de regimes de bases;</w:t>
      </w:r>
    </w:p>
    <w:p w:rsidR="006323F3" w:rsidRPr="005E2C6F" w:rsidRDefault="003D0A4D" w:rsidP="005E2C6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Lucida Grande" w:hAnsi="Lucida Grande"/>
          <w:i/>
          <w:sz w:val="18"/>
        </w:rPr>
      </w:pPr>
      <w:r>
        <w:rPr>
          <w:rFonts w:ascii="Lucida Grande" w:hAnsi="Lucida Grande"/>
          <w:i/>
          <w:sz w:val="18"/>
        </w:rPr>
        <w:t>A relação entre os decretos legislativos de desenvolvimento e os regimes de bases: relevância das especificidades regionais?</w:t>
      </w:r>
    </w:p>
    <w:p w:rsidR="003D0A4D" w:rsidRDefault="006323F3" w:rsidP="00703204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  <w:t>O Representante da República recusou-se, porém, a assinar o diploma, por considerar que este carecia de autorização legislativa da AR.</w:t>
      </w:r>
    </w:p>
    <w:p w:rsidR="00B507BD" w:rsidRPr="00B507BD" w:rsidRDefault="003D0A4D" w:rsidP="003D0A4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Lucida Grande" w:hAnsi="Lucida Grande"/>
          <w:sz w:val="18"/>
        </w:rPr>
      </w:pPr>
      <w:r>
        <w:rPr>
          <w:rFonts w:ascii="Lucida Grande" w:hAnsi="Lucida Grande"/>
          <w:i/>
          <w:sz w:val="18"/>
        </w:rPr>
        <w:t xml:space="preserve">A competência de assinatura do </w:t>
      </w:r>
      <w:r w:rsidR="00B507BD">
        <w:rPr>
          <w:rFonts w:ascii="Lucida Grande" w:hAnsi="Lucida Grande"/>
          <w:i/>
          <w:sz w:val="18"/>
        </w:rPr>
        <w:t>RR;</w:t>
      </w:r>
    </w:p>
    <w:p w:rsidR="00703204" w:rsidRPr="003D0A4D" w:rsidRDefault="00B507BD" w:rsidP="003D0A4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Lucida Grande" w:hAnsi="Lucida Grande"/>
          <w:sz w:val="18"/>
        </w:rPr>
      </w:pPr>
      <w:r>
        <w:rPr>
          <w:rFonts w:ascii="Lucida Grande" w:hAnsi="Lucida Grande"/>
          <w:i/>
          <w:sz w:val="18"/>
        </w:rPr>
        <w:t>Careceria o dito diploma de autorização (art. 227.º)?</w:t>
      </w:r>
    </w:p>
    <w:sectPr w:rsidR="00703204" w:rsidRPr="003D0A4D" w:rsidSect="007032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2DF"/>
    <w:multiLevelType w:val="hybridMultilevel"/>
    <w:tmpl w:val="A4364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B6416"/>
    <w:multiLevelType w:val="hybridMultilevel"/>
    <w:tmpl w:val="C062F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BE0BC3"/>
    <w:multiLevelType w:val="hybridMultilevel"/>
    <w:tmpl w:val="DC52C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15741E"/>
    <w:multiLevelType w:val="hybridMultilevel"/>
    <w:tmpl w:val="EC12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4B711A"/>
    <w:multiLevelType w:val="hybridMultilevel"/>
    <w:tmpl w:val="2628204E"/>
    <w:lvl w:ilvl="0" w:tplc="6CF452A0">
      <w:start w:val="1"/>
      <w:numFmt w:val="decimal"/>
      <w:pStyle w:val="Numeraocontnua"/>
      <w:lvlText w:val="%1."/>
      <w:lvlJc w:val="right"/>
      <w:pPr>
        <w:tabs>
          <w:tab w:val="num" w:pos="851"/>
        </w:tabs>
        <w:ind w:left="0" w:firstLine="737"/>
      </w:pPr>
      <w:rPr>
        <w:rFonts w:ascii="Times New Roman Bold" w:hAnsi="Times New Roman Bold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3360"/>
    <w:multiLevelType w:val="hybridMultilevel"/>
    <w:tmpl w:val="61E65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3D56B7"/>
    <w:multiLevelType w:val="hybridMultilevel"/>
    <w:tmpl w:val="C9A67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1D6031"/>
    <w:multiLevelType w:val="hybridMultilevel"/>
    <w:tmpl w:val="1424EEA0"/>
    <w:lvl w:ilvl="0" w:tplc="CF4ACB4C">
      <w:start w:val="1"/>
      <w:numFmt w:val="decimal"/>
      <w:lvlText w:val="%1."/>
      <w:lvlJc w:val="right"/>
      <w:pPr>
        <w:ind w:left="720" w:hanging="18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04"/>
    <w:rsid w:val="00057C83"/>
    <w:rsid w:val="000F64B2"/>
    <w:rsid w:val="00254EA8"/>
    <w:rsid w:val="00377E81"/>
    <w:rsid w:val="003D0A4D"/>
    <w:rsid w:val="00424651"/>
    <w:rsid w:val="004C558B"/>
    <w:rsid w:val="005E2C6F"/>
    <w:rsid w:val="006323F3"/>
    <w:rsid w:val="00635351"/>
    <w:rsid w:val="00703204"/>
    <w:rsid w:val="008818CD"/>
    <w:rsid w:val="00A83BCC"/>
    <w:rsid w:val="00B507BD"/>
    <w:rsid w:val="00D510F0"/>
    <w:rsid w:val="00DC48A6"/>
    <w:rsid w:val="00E01FF2"/>
    <w:rsid w:val="00F7696B"/>
    <w:rsid w:val="00F94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0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umeraocontnua">
    <w:name w:val="Numeração contínua"/>
    <w:basedOn w:val="Normal"/>
    <w:qFormat/>
    <w:rsid w:val="00225807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8818CD"/>
    <w:rPr>
      <w:rFonts w:ascii="Lucida Grande" w:hAnsi="Lucida Grande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8818CD"/>
    <w:rPr>
      <w:rFonts w:ascii="Lucida Grande" w:hAnsi="Lucida Grande"/>
    </w:rPr>
  </w:style>
  <w:style w:type="paragraph" w:styleId="PargrafodaLista">
    <w:name w:val="List Paragraph"/>
    <w:basedOn w:val="Normal"/>
    <w:uiPriority w:val="34"/>
    <w:qFormat/>
    <w:rsid w:val="0088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0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umeraocontnua">
    <w:name w:val="Numeração contínua"/>
    <w:basedOn w:val="Normal"/>
    <w:qFormat/>
    <w:rsid w:val="00225807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8818CD"/>
    <w:rPr>
      <w:rFonts w:ascii="Lucida Grande" w:hAnsi="Lucida Grande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8818CD"/>
    <w:rPr>
      <w:rFonts w:ascii="Lucida Grande" w:hAnsi="Lucida Grande"/>
    </w:rPr>
  </w:style>
  <w:style w:type="paragraph" w:styleId="PargrafodaLista">
    <w:name w:val="List Paragraph"/>
    <w:basedOn w:val="Normal"/>
    <w:uiPriority w:val="34"/>
    <w:qFormat/>
    <w:rsid w:val="0088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Guerra da Fonseca</dc:creator>
  <cp:lastModifiedBy>Windows User</cp:lastModifiedBy>
  <cp:revision>2</cp:revision>
  <dcterms:created xsi:type="dcterms:W3CDTF">2013-12-03T15:01:00Z</dcterms:created>
  <dcterms:modified xsi:type="dcterms:W3CDTF">2013-12-03T15:01:00Z</dcterms:modified>
</cp:coreProperties>
</file>