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B" w:rsidRDefault="00DB0E3B" w:rsidP="00DB0E3B">
      <w:pPr>
        <w:spacing w:line="360" w:lineRule="auto"/>
        <w:jc w:val="center"/>
        <w:rPr>
          <w:rFonts w:ascii="Lucida Grande" w:hAnsi="Lucida Grande"/>
          <w:b/>
        </w:rPr>
      </w:pPr>
      <w:bookmarkStart w:id="0" w:name="_GoBack"/>
      <w:bookmarkEnd w:id="0"/>
      <w:r>
        <w:rPr>
          <w:rFonts w:ascii="Lucida Grande" w:hAnsi="Lucida Grande"/>
          <w:b/>
        </w:rPr>
        <w:t>Caso prático 3</w:t>
      </w:r>
    </w:p>
    <w:p w:rsidR="00DB0E3B" w:rsidRDefault="00DB0E3B" w:rsidP="00DB0E3B">
      <w:pPr>
        <w:spacing w:line="360" w:lineRule="auto"/>
        <w:jc w:val="center"/>
        <w:rPr>
          <w:rFonts w:ascii="Lucida Grande" w:hAnsi="Lucida Grande"/>
          <w:b/>
        </w:rPr>
      </w:pPr>
    </w:p>
    <w:p w:rsidR="00630FE5" w:rsidRDefault="00DB0E3B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  <w:sz w:val="20"/>
        </w:rPr>
        <w:t xml:space="preserve">Em 25 de Abril de 2010, a Assembleia da República (AR) aprovou uma lei </w:t>
      </w:r>
      <w:r w:rsidR="00630FE5">
        <w:rPr>
          <w:rFonts w:ascii="Lucida Grande" w:hAnsi="Lucida Grande"/>
          <w:sz w:val="20"/>
        </w:rPr>
        <w:t>nos termos da qual os militantes do partido do governo tinham condição preferencial para efeitos de contratação como trabalhadores da administração pública.</w:t>
      </w:r>
    </w:p>
    <w:p w:rsidR="00376AC4" w:rsidRDefault="00630FE5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 xml:space="preserve">Em Maio, Abel, considerando ter sido preterido num concurso público tendente à contratação de trabalhadores para a administração pública, solicitou ao Tribunal Constitucional (TC) que se pronunciasse sobre a constitucionalidade dessa mesma lei, alegando violação do princípio da igualdade. O TC viria a declarar a inconstitucionalidade de apenas uma das normas do diploma, mas por inconstitucionalidade orgânica, por considerar que a AR apenas deveria ter aprovado uma </w:t>
      </w:r>
      <w:r w:rsidR="00376AC4">
        <w:rPr>
          <w:rFonts w:ascii="Lucida Grande" w:hAnsi="Lucida Grande"/>
          <w:sz w:val="20"/>
        </w:rPr>
        <w:t>lei de autorização legislativa sobre a matéria.</w:t>
      </w:r>
    </w:p>
    <w:p w:rsidR="001B5A64" w:rsidRDefault="00376AC4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 xml:space="preserve">Na sequência disso, o grupo parlamentar da maioria fez aprovar na AR uma lei de autorização legislativa sobre essa mesma matéria, nos termos da qual o Governo dispunha então de um ano para aprovar o regime que bem entendesse. Mas o Governo não queria esperar: </w:t>
      </w:r>
      <w:r w:rsidR="001B5A64">
        <w:rPr>
          <w:rFonts w:ascii="Lucida Grande" w:hAnsi="Lucida Grande"/>
          <w:sz w:val="20"/>
        </w:rPr>
        <w:t>ao fim de quinze dias</w:t>
      </w:r>
      <w:r>
        <w:rPr>
          <w:rFonts w:ascii="Lucida Grande" w:hAnsi="Lucida Grande"/>
          <w:sz w:val="20"/>
        </w:rPr>
        <w:t xml:space="preserve">, aprovou </w:t>
      </w:r>
      <w:r w:rsidR="001B5A64">
        <w:rPr>
          <w:rFonts w:ascii="Lucida Grande" w:hAnsi="Lucida Grande"/>
          <w:sz w:val="20"/>
        </w:rPr>
        <w:t>logo o dito regime. O Presidente da República (PR), porém, viria a vetar a lei de autorização legislativa.</w:t>
      </w:r>
    </w:p>
    <w:p w:rsidR="001B5A64" w:rsidRDefault="001B5A64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  <w:t>Como Abel se queixara do seu caso ao Provedor de Justiça, este viria a requerer ao TC a fiscalização da constitucionalidade daquele diploma governamental, alegando ilegalidade por violação da lei de autorização legislativa. O TC deu razão ao provedor mas determinou que a declaração de inconstitucionalidade não se aplicava ao caso de Abel por razões de “interesse público de excepcional relevo”.</w:t>
      </w:r>
    </w:p>
    <w:p w:rsidR="00D86510" w:rsidRDefault="001B5A64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</w:r>
      <w:r w:rsidR="002D6C32">
        <w:rPr>
          <w:rFonts w:ascii="Lucida Grande" w:hAnsi="Lucida Grande"/>
          <w:sz w:val="20"/>
        </w:rPr>
        <w:t>Entretanto, verificaram-se problemas idênticos noutros concursos, e vários foram os particulares que, movendo acções judiciais contra a administração, alegaram a mesma inconstitucionalidade que Abel havia alegado. Tantos foram os processos que chegaram ao TC, que o Procurador-Geral da República (PGR) resolveu requerer</w:t>
      </w:r>
      <w:r w:rsidR="00376AC4">
        <w:rPr>
          <w:rFonts w:ascii="Lucida Grande" w:hAnsi="Lucida Grande"/>
          <w:sz w:val="20"/>
        </w:rPr>
        <w:t xml:space="preserve"> </w:t>
      </w:r>
      <w:r w:rsidR="002D6C32">
        <w:rPr>
          <w:rFonts w:ascii="Lucida Grande" w:hAnsi="Lucida Grande"/>
          <w:sz w:val="20"/>
        </w:rPr>
        <w:t>ao TC a inconstitucionalidade de qualquer norma do ordenamento jurídico português que pudesse privilegiar alguém nos concursos para a administração.</w:t>
      </w:r>
    </w:p>
    <w:p w:rsidR="00A739F2" w:rsidRDefault="00D86510" w:rsidP="00DB0E3B">
      <w:pPr>
        <w:spacing w:line="360" w:lineRule="auto"/>
        <w:jc w:val="both"/>
        <w:rPr>
          <w:rFonts w:ascii="Lucida Grande" w:hAnsi="Lucida Grande"/>
          <w:sz w:val="20"/>
        </w:rPr>
      </w:pPr>
      <w:r>
        <w:rPr>
          <w:rFonts w:ascii="Lucida Grande" w:hAnsi="Lucida Grande"/>
          <w:sz w:val="20"/>
        </w:rPr>
        <w:tab/>
      </w:r>
      <w:r w:rsidR="00630FE5">
        <w:rPr>
          <w:rFonts w:ascii="Lucida Grande" w:hAnsi="Lucida Grande"/>
          <w:sz w:val="20"/>
        </w:rPr>
        <w:t xml:space="preserve"> </w:t>
      </w:r>
      <w:r w:rsidR="00A739F2">
        <w:rPr>
          <w:rFonts w:ascii="Lucida Grande" w:hAnsi="Lucida Grande"/>
          <w:sz w:val="20"/>
        </w:rPr>
        <w:t>O TC deitou mãos a essa tarefa, mas, após eliminar toda uma série de normas da ordem jurídica, veio a concluir que assim ficava criado um vazio legislativo, pelo que decidiu ainda estar-se perante um caso de inconstitucionalidade por omissão, condenando então a AR a aprovar os regimes jurídicos que se mostrassem necessários, à luz do princípio do Estado de direito.</w:t>
      </w:r>
    </w:p>
    <w:p w:rsidR="00A739F2" w:rsidRDefault="00A739F2" w:rsidP="00DB0E3B">
      <w:pPr>
        <w:spacing w:line="360" w:lineRule="auto"/>
        <w:jc w:val="both"/>
        <w:rPr>
          <w:rFonts w:ascii="Lucida Grande" w:hAnsi="Lucida Grande"/>
          <w:sz w:val="20"/>
        </w:rPr>
      </w:pPr>
    </w:p>
    <w:p w:rsidR="00A739F2" w:rsidRDefault="00A739F2" w:rsidP="00DB0E3B">
      <w:pPr>
        <w:spacing w:line="360" w:lineRule="auto"/>
        <w:jc w:val="both"/>
        <w:rPr>
          <w:rFonts w:ascii="Lucida Grande" w:hAnsi="Lucida Grande"/>
          <w:sz w:val="20"/>
        </w:rPr>
      </w:pPr>
    </w:p>
    <w:p w:rsidR="00A739F2" w:rsidRDefault="00A739F2" w:rsidP="00DB0E3B">
      <w:pPr>
        <w:spacing w:line="360" w:lineRule="auto"/>
        <w:jc w:val="both"/>
        <w:rPr>
          <w:rFonts w:ascii="Lucida Grande" w:hAnsi="Lucida Grande"/>
          <w:sz w:val="20"/>
        </w:rPr>
      </w:pPr>
    </w:p>
    <w:p w:rsidR="00DB0E3B" w:rsidRPr="00DB0E3B" w:rsidRDefault="00DB0E3B" w:rsidP="00DB0E3B">
      <w:pPr>
        <w:spacing w:line="360" w:lineRule="auto"/>
        <w:jc w:val="both"/>
        <w:rPr>
          <w:rFonts w:ascii="Lucida Grande" w:hAnsi="Lucida Grande"/>
          <w:sz w:val="20"/>
        </w:rPr>
      </w:pPr>
    </w:p>
    <w:sectPr w:rsidR="00DB0E3B" w:rsidRPr="00DB0E3B" w:rsidSect="00DB0E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3B"/>
    <w:rsid w:val="001B5A64"/>
    <w:rsid w:val="002C6F50"/>
    <w:rsid w:val="002D6C32"/>
    <w:rsid w:val="00376AC4"/>
    <w:rsid w:val="00630FE5"/>
    <w:rsid w:val="00A739F2"/>
    <w:rsid w:val="00D86510"/>
    <w:rsid w:val="00DB0E3B"/>
    <w:rsid w:val="00F81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2013-12-03T15:01:00Z</dcterms:created>
  <dcterms:modified xsi:type="dcterms:W3CDTF">2013-12-03T15:01:00Z</dcterms:modified>
</cp:coreProperties>
</file>