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9" w:rsidRDefault="00503BB9" w:rsidP="00503BB9">
      <w:pPr>
        <w:rPr>
          <w:rFonts w:ascii="Calibri" w:hAnsi="Calibri"/>
        </w:rPr>
      </w:pPr>
    </w:p>
    <w:tbl>
      <w:tblPr>
        <w:tblW w:w="5000" w:type="pct"/>
        <w:tblCellSpacing w:w="7" w:type="dxa"/>
        <w:shd w:val="clear" w:color="auto" w:fill="F1F1F1"/>
        <w:tblLook w:val="04A0" w:firstRow="1" w:lastRow="0" w:firstColumn="1" w:lastColumn="0" w:noHBand="0" w:noVBand="1"/>
      </w:tblPr>
      <w:tblGrid>
        <w:gridCol w:w="8562"/>
      </w:tblGrid>
      <w:tr w:rsidR="00503BB9" w:rsidTr="00503BB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7"/>
              <w:gridCol w:w="81"/>
              <w:gridCol w:w="96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03BB9" w:rsidRDefault="00503BB9">
                  <w:pPr>
                    <w:rPr>
                      <w:rFonts w:ascii="Trebuchet MS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t>SECÇÃO V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br/>
                    <w:t>Incapacidades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br/>
                    <w:t>SUBSECÇÃO I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br/>
                    <w:t>Condição jurídica dos menores</w:t>
                  </w: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shd w:val="clear" w:color="auto" w:fill="FCFACF"/>
                  <w:vAlign w:val="center"/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  Artigo 122.º</w:t>
                  </w:r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(Menores</w:t>
                  </w:r>
                  <w:proofErr w:type="gramEnd"/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03BB9" w:rsidRDefault="00503BB9">
            <w:pPr>
              <w:rPr>
                <w:rFonts w:ascii="Tahoma" w:hAnsi="Tahoma" w:cs="Tahoma"/>
                <w:vanish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344"/>
              <w:gridCol w:w="3995"/>
              <w:gridCol w:w="75"/>
              <w:gridCol w:w="90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CFAC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CC221E"/>
                      <w:sz w:val="16"/>
                      <w:szCs w:val="16"/>
                    </w:rPr>
                    <w:t>É menor quem não tiver ainda completado dezoito anos de idade.</w:t>
                  </w: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554E7"/>
                      <w:sz w:val="16"/>
                      <w:szCs w:val="16"/>
                    </w:rPr>
                    <w:t>  Contém as alterações dos seguintes diplomas:</w:t>
                  </w:r>
                  <w:r>
                    <w:rPr>
                      <w:rFonts w:ascii="Trebuchet MS" w:hAnsi="Trebuchet MS"/>
                      <w:color w:val="0554E7"/>
                      <w:sz w:val="16"/>
                      <w:szCs w:val="16"/>
                    </w:rPr>
                    <w:br/>
                  </w:r>
                  <w:r>
                    <w:rPr>
                      <w:rFonts w:ascii="Trebuchet MS" w:hAnsi="Trebuchet MS"/>
                      <w:color w:val="387070"/>
                      <w:sz w:val="16"/>
                      <w:szCs w:val="16"/>
                    </w:rPr>
                    <w:t>   - </w:t>
                  </w:r>
                  <w:hyperlink r:id="rId5" w:history="1"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DL n.º 496/77, de 25/11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554E7"/>
                      <w:sz w:val="16"/>
                      <w:szCs w:val="16"/>
                    </w:rPr>
                    <w:t>  Consultar versões anteriores deste artigo:</w:t>
                  </w:r>
                  <w:r>
                    <w:rPr>
                      <w:rFonts w:ascii="Trebuchet MS" w:hAnsi="Trebuchet MS"/>
                      <w:color w:val="387070"/>
                      <w:sz w:val="16"/>
                      <w:szCs w:val="16"/>
                    </w:rPr>
                    <w:br/>
                    <w:t>   -</w:t>
                  </w:r>
                  <w:hyperlink r:id="rId6" w:history="1"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 xml:space="preserve">1ª </w:t>
                    </w:r>
                    <w:proofErr w:type="gramStart"/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versão</w:t>
                    </w:r>
                    <w:proofErr w:type="gramEnd"/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: DL n.º 47344/66, de 25/11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03BB9" w:rsidRDefault="00503BB9">
            <w:pPr>
              <w:rPr>
                <w:rFonts w:cs="Times New Roman"/>
              </w:rPr>
            </w:pPr>
          </w:p>
        </w:tc>
      </w:tr>
    </w:tbl>
    <w:p w:rsidR="00503BB9" w:rsidRDefault="00503BB9" w:rsidP="00503BB9"/>
    <w:tbl>
      <w:tblPr>
        <w:tblW w:w="5000" w:type="pct"/>
        <w:tblCellSpacing w:w="7" w:type="dxa"/>
        <w:shd w:val="clear" w:color="auto" w:fill="F1F1F1"/>
        <w:tblLook w:val="04A0" w:firstRow="1" w:lastRow="0" w:firstColumn="1" w:lastColumn="0" w:noHBand="0" w:noVBand="1"/>
      </w:tblPr>
      <w:tblGrid>
        <w:gridCol w:w="8562"/>
      </w:tblGrid>
      <w:tr w:rsidR="00503BB9" w:rsidTr="00503BB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  Artigo 123.º</w:t>
                  </w:r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(Incapacidade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 xml:space="preserve"> dos menores)</w:t>
                  </w:r>
                </w:p>
              </w:tc>
            </w:tr>
          </w:tbl>
          <w:p w:rsidR="00503BB9" w:rsidRDefault="00503BB9">
            <w:pPr>
              <w:rPr>
                <w:rFonts w:ascii="Tahoma" w:hAnsi="Tahoma" w:cs="Tahoma"/>
                <w:vanish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133"/>
              <w:gridCol w:w="2118"/>
              <w:gridCol w:w="2119"/>
              <w:gridCol w:w="2134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  <w:t>Salvo disposição em contrário, os menores carecem de capacidade para o exercício de direitos.</w:t>
                  </w: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03BB9" w:rsidRDefault="00503BB9">
            <w:pPr>
              <w:rPr>
                <w:rFonts w:cs="Times New Roman"/>
              </w:rPr>
            </w:pPr>
          </w:p>
        </w:tc>
      </w:tr>
    </w:tbl>
    <w:p w:rsidR="00503BB9" w:rsidRDefault="00503BB9" w:rsidP="00503BB9"/>
    <w:tbl>
      <w:tblPr>
        <w:tblW w:w="5000" w:type="pct"/>
        <w:tblCellSpacing w:w="7" w:type="dxa"/>
        <w:shd w:val="clear" w:color="auto" w:fill="F1F1F1"/>
        <w:tblLook w:val="04A0" w:firstRow="1" w:lastRow="0" w:firstColumn="1" w:lastColumn="0" w:noHBand="0" w:noVBand="1"/>
      </w:tblPr>
      <w:tblGrid>
        <w:gridCol w:w="8562"/>
      </w:tblGrid>
      <w:tr w:rsidR="00503BB9" w:rsidTr="00503BB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  Artigo 124.º</w:t>
                  </w:r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(Suprimento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 xml:space="preserve"> da incapacidade dos menores)</w:t>
                  </w:r>
                </w:p>
              </w:tc>
            </w:tr>
          </w:tbl>
          <w:p w:rsidR="00503BB9" w:rsidRDefault="00503BB9">
            <w:pPr>
              <w:rPr>
                <w:rFonts w:ascii="Tahoma" w:hAnsi="Tahoma" w:cs="Tahoma"/>
                <w:vanish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504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  <w:t>A incapacidade dos menores é suprida pelo poder paternal e, subsidiariamente, pela tutela, conforme se dispõe nos lugares respectivos.</w:t>
                  </w:r>
                </w:p>
              </w:tc>
            </w:tr>
          </w:tbl>
          <w:p w:rsidR="00503BB9" w:rsidRDefault="00503BB9">
            <w:pPr>
              <w:rPr>
                <w:rFonts w:cs="Times New Roman"/>
              </w:rPr>
            </w:pPr>
          </w:p>
        </w:tc>
      </w:tr>
    </w:tbl>
    <w:p w:rsidR="00503BB9" w:rsidRDefault="00503BB9" w:rsidP="00503BB9">
      <w:pPr>
        <w:rPr>
          <w:rFonts w:eastAsiaTheme="minorEastAsia"/>
          <w:noProof/>
          <w:lang w:eastAsia="pt-PT"/>
        </w:rPr>
      </w:pPr>
    </w:p>
    <w:p w:rsidR="00503BB9" w:rsidRDefault="00503BB9" w:rsidP="00503BB9">
      <w:pPr>
        <w:rPr>
          <w:rFonts w:eastAsiaTheme="minorEastAsia"/>
          <w:noProof/>
          <w:lang w:eastAsia="pt-PT"/>
        </w:rPr>
      </w:pPr>
    </w:p>
    <w:tbl>
      <w:tblPr>
        <w:tblW w:w="5000" w:type="pct"/>
        <w:tblCellSpacing w:w="7" w:type="dxa"/>
        <w:shd w:val="clear" w:color="auto" w:fill="F1F1F1"/>
        <w:tblLook w:val="04A0" w:firstRow="1" w:lastRow="0" w:firstColumn="1" w:lastColumn="0" w:noHBand="0" w:noVBand="1"/>
      </w:tblPr>
      <w:tblGrid>
        <w:gridCol w:w="8562"/>
      </w:tblGrid>
      <w:tr w:rsidR="00503BB9" w:rsidTr="00503BB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9"/>
              <w:gridCol w:w="45"/>
              <w:gridCol w:w="60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03BB9" w:rsidRDefault="00503BB9">
                  <w:pPr>
                    <w:rPr>
                      <w:rFonts w:ascii="Trebuchet MS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t>SECÇÃO II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br/>
                    <w:t>Responsabilidades Parentais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br/>
                    <w:t>SUBSECÇÃO I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</w:rPr>
                    <w:br/>
                    <w:t>Princípios gerais</w:t>
                  </w: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shd w:val="clear" w:color="auto" w:fill="FCFACF"/>
                  <w:vAlign w:val="center"/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  ARTIGO 1877.º</w:t>
                  </w:r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(Duração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i/>
                      <w:iCs/>
                      <w:color w:val="CC221E"/>
                      <w:sz w:val="17"/>
                      <w:szCs w:val="17"/>
                    </w:rPr>
                    <w:t>das</w:t>
                  </w:r>
                  <w:r>
                    <w:rPr>
                      <w:rStyle w:val="apple-converted-space"/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 </w:t>
                  </w:r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>responsabilidades</w:t>
                  </w:r>
                  <w:proofErr w:type="gramEnd"/>
                  <w:r>
                    <w:rPr>
                      <w:rFonts w:ascii="Trebuchet MS" w:hAnsi="Trebuchet MS"/>
                      <w:b/>
                      <w:bCs/>
                      <w:color w:val="CC221E"/>
                      <w:sz w:val="17"/>
                      <w:szCs w:val="17"/>
                    </w:rPr>
                    <w:t xml:space="preserve"> parentais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03BB9" w:rsidRDefault="00503BB9">
            <w:pPr>
              <w:rPr>
                <w:rFonts w:ascii="Tahoma" w:hAnsi="Tahoma" w:cs="Tahoma"/>
                <w:vanish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344"/>
              <w:gridCol w:w="3995"/>
              <w:gridCol w:w="75"/>
              <w:gridCol w:w="90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gridSpan w:val="4"/>
                  <w:shd w:val="clear" w:color="auto" w:fill="FCFAC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CC221E"/>
                      <w:sz w:val="16"/>
                      <w:szCs w:val="16"/>
                    </w:rPr>
                    <w:t>Os filhos estão sujeitos</w:t>
                  </w:r>
                  <w:r>
                    <w:rPr>
                      <w:rStyle w:val="apple-converted-space"/>
                      <w:rFonts w:ascii="Trebuchet MS" w:hAnsi="Trebuchet MS"/>
                      <w:color w:val="CC221E"/>
                      <w:sz w:val="16"/>
                      <w:szCs w:val="16"/>
                    </w:rPr>
                    <w:t> </w:t>
                  </w:r>
                  <w:r>
                    <w:rPr>
                      <w:rFonts w:ascii="Trebuchet MS" w:hAnsi="Trebuchet MS"/>
                      <w:i/>
                      <w:iCs/>
                      <w:color w:val="CC221E"/>
                      <w:sz w:val="16"/>
                      <w:szCs w:val="16"/>
                    </w:rPr>
                    <w:t>às</w:t>
                  </w:r>
                  <w:r>
                    <w:rPr>
                      <w:rStyle w:val="apple-converted-space"/>
                      <w:rFonts w:ascii="Trebuchet MS" w:hAnsi="Trebuchet MS"/>
                      <w:color w:val="CC221E"/>
                      <w:sz w:val="16"/>
                      <w:szCs w:val="16"/>
                    </w:rPr>
                    <w:t> </w:t>
                  </w:r>
                  <w:r>
                    <w:rPr>
                      <w:rFonts w:ascii="Trebuchet MS" w:hAnsi="Trebuchet MS"/>
                      <w:color w:val="CC221E"/>
                      <w:sz w:val="16"/>
                      <w:szCs w:val="16"/>
                    </w:rPr>
                    <w:t>responsabilidades parentais até à maioridade ou emancipação.</w:t>
                  </w: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554E7"/>
                      <w:sz w:val="16"/>
                      <w:szCs w:val="16"/>
                    </w:rPr>
                    <w:t>  Contém as alterações dos seguintes diplomas:</w:t>
                  </w:r>
                  <w:r>
                    <w:rPr>
                      <w:rFonts w:ascii="Trebuchet MS" w:hAnsi="Trebuchet MS"/>
                      <w:color w:val="0554E7"/>
                      <w:sz w:val="16"/>
                      <w:szCs w:val="16"/>
                    </w:rPr>
                    <w:br/>
                  </w:r>
                  <w:r>
                    <w:rPr>
                      <w:rFonts w:ascii="Trebuchet MS" w:hAnsi="Trebuchet MS"/>
                      <w:color w:val="387070"/>
                      <w:sz w:val="16"/>
                      <w:szCs w:val="16"/>
                    </w:rPr>
                    <w:t>   - </w:t>
                  </w:r>
                  <w:hyperlink r:id="rId7" w:history="1"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DL n.º 496/77, de 25/11</w:t>
                    </w:r>
                  </w:hyperlink>
                  <w:r>
                    <w:rPr>
                      <w:rFonts w:ascii="Trebuchet MS" w:hAnsi="Trebuchet MS"/>
                      <w:color w:val="387070"/>
                      <w:sz w:val="16"/>
                      <w:szCs w:val="16"/>
                    </w:rPr>
                    <w:br/>
                    <w:t>   - </w:t>
                  </w:r>
                  <w:hyperlink r:id="rId8" w:history="1"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Lei n.º 61/2008, de 31/10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554E7"/>
                      <w:sz w:val="16"/>
                      <w:szCs w:val="16"/>
                    </w:rPr>
                    <w:t>  Consultar versões anteriores deste artigo:</w:t>
                  </w:r>
                  <w:r>
                    <w:rPr>
                      <w:rFonts w:ascii="Trebuchet MS" w:hAnsi="Trebuchet MS"/>
                      <w:color w:val="387070"/>
                      <w:sz w:val="16"/>
                      <w:szCs w:val="16"/>
                    </w:rPr>
                    <w:br/>
                    <w:t>   -</w:t>
                  </w:r>
                  <w:hyperlink r:id="rId9" w:history="1"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 xml:space="preserve">1ª </w:t>
                    </w:r>
                    <w:proofErr w:type="gramStart"/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versão</w:t>
                    </w:r>
                    <w:proofErr w:type="gramEnd"/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: DL n.º 47344/66, de 25/11</w:t>
                    </w:r>
                  </w:hyperlink>
                  <w:r>
                    <w:rPr>
                      <w:rFonts w:ascii="Trebuchet MS" w:hAnsi="Trebuchet MS"/>
                      <w:color w:val="387070"/>
                      <w:sz w:val="16"/>
                      <w:szCs w:val="16"/>
                    </w:rPr>
                    <w:br/>
                    <w:t>   -</w:t>
                  </w:r>
                  <w:hyperlink r:id="rId10" w:history="1">
                    <w:r>
                      <w:rPr>
                        <w:rStyle w:val="Hiperligao"/>
                        <w:rFonts w:ascii="Trebuchet MS" w:hAnsi="Trebuchet MS"/>
                        <w:color w:val="939B80"/>
                        <w:sz w:val="16"/>
                        <w:szCs w:val="16"/>
                        <w:bdr w:val="none" w:sz="0" w:space="0" w:color="auto" w:frame="1"/>
                      </w:rPr>
                      <w:t>2ª versão: DL n.º 496/77, de 25/11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  <w:tr w:rsidR="00503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03BB9" w:rsidRDefault="00503BB9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03BB9" w:rsidRDefault="00503BB9">
            <w:pPr>
              <w:rPr>
                <w:rFonts w:cs="Times New Roman"/>
              </w:rPr>
            </w:pPr>
          </w:p>
        </w:tc>
      </w:tr>
    </w:tbl>
    <w:p w:rsidR="00503BB9" w:rsidRDefault="00503BB9" w:rsidP="00503BB9"/>
    <w:tbl>
      <w:tblPr>
        <w:tblW w:w="5000" w:type="pct"/>
        <w:tblCellSpacing w:w="7" w:type="dxa"/>
        <w:shd w:val="clear" w:color="auto" w:fill="F1F1F1"/>
        <w:tblLook w:val="04A0" w:firstRow="1" w:lastRow="0" w:firstColumn="1" w:lastColumn="0" w:noHBand="0" w:noVBand="1"/>
      </w:tblPr>
      <w:tblGrid>
        <w:gridCol w:w="8562"/>
      </w:tblGrid>
      <w:tr w:rsidR="00503BB9" w:rsidTr="00503BB9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  ARTIGO 1878.º</w:t>
                  </w:r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br/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(Conteúdo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bCs/>
                      <w:i/>
                      <w:iCs/>
                      <w:color w:val="D74600"/>
                      <w:sz w:val="17"/>
                      <w:szCs w:val="17"/>
                    </w:rPr>
                    <w:t>das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>responsabilidades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color w:val="D74600"/>
                      <w:sz w:val="17"/>
                      <w:szCs w:val="17"/>
                    </w:rPr>
                    <w:t xml:space="preserve"> parentais</w:t>
                  </w:r>
                </w:p>
              </w:tc>
            </w:tr>
          </w:tbl>
          <w:p w:rsidR="00503BB9" w:rsidRDefault="00503BB9">
            <w:pPr>
              <w:rPr>
                <w:rFonts w:ascii="Tahoma" w:hAnsi="Tahoma" w:cs="Tahoma"/>
                <w:vanish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504"/>
            </w:tblGrid>
            <w:tr w:rsidR="00503BB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03BB9" w:rsidRDefault="00503BB9">
                  <w:pPr>
                    <w:spacing w:line="285" w:lineRule="atLeast"/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  <w:t xml:space="preserve">1. Compete aos pais, no interesse dos filhos, velar pela segurança e saúde destes, prover ao seu sustento, dirigir a sua educação, representá-los, ainda que nascituros, </w:t>
                  </w:r>
                  <w:r w:rsidRPr="00503BB9">
                    <w:rPr>
                      <w:rFonts w:ascii="Trebuchet MS" w:hAnsi="Trebuchet MS"/>
                      <w:b/>
                      <w:color w:val="000000"/>
                      <w:sz w:val="16"/>
                      <w:szCs w:val="16"/>
                      <w:u w:val="single"/>
                    </w:rPr>
                    <w:t>e administrar os seus bens</w:t>
                  </w:r>
                  <w:r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Style w:val="apple-converted-space"/>
                      <w:rFonts w:ascii="Trebuchet MS" w:hAnsi="Trebuchet MS"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rFonts w:ascii="Trebuchet MS" w:hAnsi="Trebuchet MS"/>
                      <w:color w:val="000000"/>
                      <w:sz w:val="16"/>
                      <w:szCs w:val="16"/>
                    </w:rPr>
                    <w:br/>
                    <w:t>2. Os filhos devem obediência aos pais; estes, porém, de acordo com a maturidade dos filhos, devem ter em conta a sua opinião nos assuntos familiares importantes e reconhecer-lhes autonomia na organização da própria vida.</w:t>
                  </w:r>
                </w:p>
              </w:tc>
            </w:tr>
          </w:tbl>
          <w:p w:rsidR="00503BB9" w:rsidRDefault="00503BB9">
            <w:pPr>
              <w:rPr>
                <w:rFonts w:cs="Times New Roman"/>
              </w:rPr>
            </w:pPr>
          </w:p>
        </w:tc>
      </w:tr>
    </w:tbl>
    <w:p w:rsidR="00503BB9" w:rsidRDefault="00503BB9" w:rsidP="00503BB9">
      <w:pPr>
        <w:rPr>
          <w:rFonts w:eastAsiaTheme="minorEastAsia"/>
          <w:noProof/>
          <w:lang w:eastAsia="pt-PT"/>
        </w:rPr>
      </w:pPr>
    </w:p>
    <w:p w:rsidR="00503BB9" w:rsidRDefault="00503BB9" w:rsidP="00503BB9">
      <w:pPr>
        <w:rPr>
          <w:rFonts w:eastAsiaTheme="minorEastAsia"/>
          <w:noProof/>
          <w:lang w:eastAsia="pt-P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4"/>
      </w:tblGrid>
      <w:tr w:rsidR="00503BB9" w:rsidTr="00503B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BB9" w:rsidRDefault="00503BB9">
            <w:pPr>
              <w:spacing w:line="285" w:lineRule="atLeast"/>
              <w:rPr>
                <w:rFonts w:ascii="Trebuchet MS" w:eastAsia="Times New Roman" w:hAnsi="Trebuchet MS" w:cs="Tahoma"/>
                <w:b/>
                <w:bCs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> ARTIGO 1881.º</w:t>
            </w:r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br/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>(Poder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 xml:space="preserve"> de representação)</w:t>
            </w:r>
          </w:p>
        </w:tc>
      </w:tr>
    </w:tbl>
    <w:p w:rsidR="00503BB9" w:rsidRDefault="00503BB9" w:rsidP="00503BB9">
      <w:pPr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594"/>
      </w:tblGrid>
      <w:tr w:rsidR="00503BB9" w:rsidTr="00503BB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BB9" w:rsidRDefault="00503BB9">
            <w:pPr>
              <w:spacing w:line="285" w:lineRule="atLeast"/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t xml:space="preserve">1. O poder de representação compreende o exercício de todos os direitos e o cumprimento de todas as obrigações do filho, exceptuados os actos puramente pessoais, aqueles que o menor tem o direito de praticar pessoal e livremente </w:t>
            </w:r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lastRenderedPageBreak/>
              <w:t>e os actos respeitantes a bens cuja administração não pertença aos pais. </w:t>
            </w:r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br/>
              <w:t>2. Se houver conflito de interesses cuja resolução dependa de autoridade pública, entre qualquer dos pais e o filho sujeito </w:t>
            </w:r>
            <w:r>
              <w:rPr>
                <w:rFonts w:ascii="Trebuchet MS" w:eastAsia="Times New Roman" w:hAnsi="Trebuchet MS" w:cs="Tahoma"/>
                <w:i/>
                <w:iCs/>
                <w:color w:val="000000"/>
                <w:sz w:val="16"/>
                <w:szCs w:val="16"/>
                <w:lang w:eastAsia="pt-PT"/>
              </w:rPr>
              <w:t>às</w:t>
            </w:r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t> responsabilidades parentais, ou entre os filhos, ainda que, neste caso, algum deles seja maior, são os menores representados por um ou mais curadores especiais nomeados pelo tribunal.</w:t>
            </w:r>
          </w:p>
        </w:tc>
      </w:tr>
    </w:tbl>
    <w:p w:rsidR="00503BB9" w:rsidRDefault="00503BB9" w:rsidP="00503BB9">
      <w:pPr>
        <w:rPr>
          <w:rFonts w:eastAsiaTheme="minorEastAsia"/>
          <w:noProof/>
          <w:lang w:eastAsia="pt-P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4"/>
      </w:tblGrid>
      <w:tr w:rsidR="00503BB9" w:rsidTr="00503B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3BB9" w:rsidRDefault="00503BB9">
            <w:pPr>
              <w:spacing w:line="285" w:lineRule="atLeast"/>
              <w:rPr>
                <w:rFonts w:ascii="Trebuchet MS" w:eastAsia="Times New Roman" w:hAnsi="Trebuchet MS" w:cs="Tahoma"/>
                <w:b/>
                <w:bCs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>ARTIGO 1882.º</w:t>
            </w:r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br/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>(Irrenunciabilidade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D74600"/>
                <w:sz w:val="17"/>
                <w:szCs w:val="17"/>
                <w:lang w:eastAsia="pt-PT"/>
              </w:rPr>
              <w:t>)</w:t>
            </w:r>
          </w:p>
        </w:tc>
      </w:tr>
    </w:tbl>
    <w:p w:rsidR="00503BB9" w:rsidRDefault="00503BB9" w:rsidP="00503BB9">
      <w:pPr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594"/>
      </w:tblGrid>
      <w:tr w:rsidR="00503BB9" w:rsidTr="00503BB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BB9" w:rsidRDefault="00503BB9">
            <w:pPr>
              <w:spacing w:line="285" w:lineRule="atLeast"/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t>Os pais não podem renunciar </w:t>
            </w:r>
            <w:r>
              <w:rPr>
                <w:rFonts w:ascii="Trebuchet MS" w:eastAsia="Times New Roman" w:hAnsi="Trebuchet MS" w:cs="Tahoma"/>
                <w:i/>
                <w:iCs/>
                <w:color w:val="000000"/>
                <w:sz w:val="16"/>
                <w:szCs w:val="16"/>
                <w:lang w:eastAsia="pt-PT"/>
              </w:rPr>
              <w:t>às</w:t>
            </w:r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t xml:space="preserve"> responsabilidades parentais nem a qualquer dos direitos que </w:t>
            </w:r>
            <w:proofErr w:type="gramStart"/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t>ele</w:t>
            </w:r>
            <w:proofErr w:type="gramEnd"/>
            <w:r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  <w:t xml:space="preserve"> especialmente lhes confere, sem prejuízo do que neste Código se dispõe acerca da adopção.</w:t>
            </w:r>
          </w:p>
        </w:tc>
      </w:tr>
    </w:tbl>
    <w:p w:rsidR="00503BB9" w:rsidRDefault="00503BB9" w:rsidP="00503BB9">
      <w:pPr>
        <w:rPr>
          <w:rFonts w:eastAsiaTheme="minorEastAsia"/>
          <w:noProof/>
          <w:lang w:eastAsia="pt-PT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4"/>
      </w:tblGrid>
      <w:tr w:rsidR="00503BB9" w:rsidTr="00503BB9">
        <w:trPr>
          <w:tblCellSpacing w:w="15" w:type="dxa"/>
        </w:trPr>
        <w:tc>
          <w:tcPr>
            <w:tcW w:w="0" w:type="auto"/>
            <w:shd w:val="clear" w:color="auto" w:fill="FCFACF"/>
            <w:vAlign w:val="center"/>
            <w:hideMark/>
          </w:tcPr>
          <w:p w:rsidR="00503BB9" w:rsidRDefault="00503BB9">
            <w:pPr>
              <w:spacing w:line="285" w:lineRule="atLeast"/>
              <w:rPr>
                <w:rFonts w:ascii="Trebuchet MS" w:eastAsia="Times New Roman" w:hAnsi="Trebuchet MS" w:cs="Tahoma"/>
                <w:b/>
                <w:bCs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color w:val="CC221E"/>
                <w:sz w:val="17"/>
                <w:szCs w:val="17"/>
                <w:lang w:eastAsia="pt-PT"/>
              </w:rPr>
              <w:t> Artigo 1904.º</w:t>
            </w:r>
            <w:r>
              <w:rPr>
                <w:rFonts w:ascii="Trebuchet MS" w:eastAsia="Times New Roman" w:hAnsi="Trebuchet MS" w:cs="Tahoma"/>
                <w:b/>
                <w:bCs/>
                <w:color w:val="CC221E"/>
                <w:sz w:val="17"/>
                <w:szCs w:val="17"/>
                <w:lang w:eastAsia="pt-PT"/>
              </w:rPr>
              <w:br/>
              <w:t>Morte de um dos progenitores</w:t>
            </w:r>
          </w:p>
        </w:tc>
      </w:tr>
    </w:tbl>
    <w:p w:rsidR="00503BB9" w:rsidRDefault="00503BB9" w:rsidP="00503BB9">
      <w:pPr>
        <w:rPr>
          <w:rFonts w:ascii="Times New Roman" w:eastAsia="Times New Roman" w:hAnsi="Times New Roman" w:cs="Times New Roman"/>
          <w:vanish/>
          <w:sz w:val="24"/>
          <w:szCs w:val="24"/>
          <w:lang w:eastAsia="pt-PT"/>
        </w:rPr>
      </w:pP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8594"/>
      </w:tblGrid>
      <w:tr w:rsidR="00503BB9" w:rsidTr="00503BB9">
        <w:trPr>
          <w:tblCellSpacing w:w="15" w:type="dxa"/>
        </w:trPr>
        <w:tc>
          <w:tcPr>
            <w:tcW w:w="0" w:type="auto"/>
            <w:shd w:val="clear" w:color="auto" w:fill="FCFAC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BB9" w:rsidRDefault="00503BB9">
            <w:pPr>
              <w:spacing w:line="285" w:lineRule="atLeast"/>
              <w:rPr>
                <w:rFonts w:ascii="Trebuchet MS" w:eastAsia="Times New Roman" w:hAnsi="Trebuchet MS" w:cs="Tahoma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Trebuchet MS" w:eastAsia="Times New Roman" w:hAnsi="Trebuchet MS" w:cs="Tahoma"/>
                <w:color w:val="CC221E"/>
                <w:sz w:val="16"/>
                <w:szCs w:val="16"/>
                <w:lang w:eastAsia="pt-PT"/>
              </w:rPr>
              <w:t>1 - Por morte de um dos progenitores, o exercício das responsabilidades parentais pertence ao sobrevivo. </w:t>
            </w:r>
            <w:r>
              <w:rPr>
                <w:rFonts w:ascii="Trebuchet MS" w:eastAsia="Times New Roman" w:hAnsi="Trebuchet MS" w:cs="Tahoma"/>
                <w:color w:val="CC221E"/>
                <w:sz w:val="16"/>
                <w:szCs w:val="16"/>
                <w:lang w:eastAsia="pt-PT"/>
              </w:rPr>
              <w:br/>
              <w:t>2 - É aplicável, em caso de morte de um dos progenitores, o disposto no n.º 1 do artigo anterior, sem prejuízo de o tribunal dever ter em conta disposição testamentária do progenitor falecido, caso exista, que designe tutor para a criança.</w:t>
            </w:r>
          </w:p>
        </w:tc>
      </w:tr>
    </w:tbl>
    <w:p w:rsidR="00503BB9" w:rsidRDefault="00503BB9" w:rsidP="00503BB9">
      <w:pPr>
        <w:rPr>
          <w:rFonts w:eastAsiaTheme="minorEastAsia"/>
          <w:noProof/>
          <w:lang w:eastAsia="pt-PT"/>
        </w:rPr>
      </w:pPr>
    </w:p>
    <w:p w:rsidR="00A5525C" w:rsidRDefault="00503BB9">
      <w:bookmarkStart w:id="0" w:name="_GoBack"/>
      <w:bookmarkEnd w:id="0"/>
    </w:p>
    <w:sectPr w:rsidR="00A55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B9"/>
    <w:rsid w:val="00503BB9"/>
    <w:rsid w:val="00522B43"/>
    <w:rsid w:val="00E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BB9"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03BB9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50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BB9"/>
    <w:pPr>
      <w:spacing w:after="0" w:line="24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03BB9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50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dlisboa.pt/leis/lei_mostra_articulado.php?nid=1028&amp;tabela=leis&amp;ficha=1&amp;pagina=1&amp;so_miolo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dlisboa.pt/leis/lei_mostra_articulado.php?nid=781&amp;tabela=leis&amp;ficha=1&amp;pagina=1&amp;so_miolo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gdlisboa.pt/leis/lei_busca_art_velho.php?nid=775&amp;artigonum=775A0122&amp;n_versao=1&amp;so_miolo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gdlisboa.pt/leis/lei_mostra_articulado.php?nid=781&amp;tabela=leis&amp;ficha=1&amp;pagina=1&amp;so_miolo=" TargetMode="External"/><Relationship Id="rId10" Type="http://schemas.openxmlformats.org/officeDocument/2006/relationships/hyperlink" Target="http://www.pgdlisboa.pt/leis/lei_busca_art_velho.php?nid=775&amp;artigonum=775A1877&amp;n_versao=2&amp;so_miolo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dlisboa.pt/leis/lei_busca_art_velho.php?nid=775&amp;artigonum=775A1877&amp;n_versao=1&amp;so_miolo=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Ricardo da Costa Teixeira</dc:creator>
  <cp:lastModifiedBy>Bruno Ricardo da Costa Teixeira</cp:lastModifiedBy>
  <cp:revision>1</cp:revision>
  <cp:lastPrinted>2015-10-13T14:56:00Z</cp:lastPrinted>
  <dcterms:created xsi:type="dcterms:W3CDTF">2015-10-13T14:55:00Z</dcterms:created>
  <dcterms:modified xsi:type="dcterms:W3CDTF">2015-10-13T14:57:00Z</dcterms:modified>
</cp:coreProperties>
</file>