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Caso 50 (versão </w:t>
      </w:r>
      <w:proofErr w:type="gramStart"/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3)</w:t>
      </w:r>
      <w:proofErr w:type="gramEnd"/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/ caso 52 (versão 4):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 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No caso </w:t>
      </w:r>
      <w:proofErr w:type="spellStart"/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>subju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dice</w:t>
      </w:r>
      <w:proofErr w:type="spellEnd"/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, o Adelino publica anuncio no jornal, referindo que vende conjunto de copos, sendo a proposta eficaz por 48 horas.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Cumpre, apreciar os </w:t>
      </w:r>
      <w:proofErr w:type="spellStart"/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aspectos</w:t>
      </w:r>
      <w:proofErr w:type="spellEnd"/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juridicamente relevantes desta 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>hipótese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.</w:t>
      </w:r>
    </w:p>
    <w:p w:rsidR="00CA2F34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Refira-se antes de mais, que se trata de uma declaração negocial, pois o comportamento do Adelino, exterioriza uma vontade tendente a produzir </w:t>
      </w:r>
      <w:proofErr w:type="gramStart"/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efeitos 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jurídico</w:t>
      </w:r>
      <w:proofErr w:type="gramEnd"/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>/negociais.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</w:t>
      </w:r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Nos termos do artigo 217º, trata-se de uma declaração expressa, pois visa produzir, diretamente os efeitos 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jurídico</w:t>
      </w:r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>/negociais.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</w:t>
      </w:r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Será esta declaração negocial, 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possível</w:t>
      </w:r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de ser qualificada como proposta? Vejamos.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 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De acordo, com a Doutrina 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>civilística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mais consagrada (vide Prof. Menezes Cordeiro e Prof. Oliveira Ascensão)</w:t>
      </w:r>
      <w:proofErr w:type="gramStart"/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,</w:t>
      </w:r>
      <w:proofErr w:type="gramEnd"/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são três os requisitos da proposta contratual: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u w:val="single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 xml:space="preserve">A) </w:t>
      </w:r>
      <w:r w:rsidR="009D3234"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>A</w:t>
      </w: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 xml:space="preserve"> vontade </w:t>
      </w:r>
      <w:r w:rsidR="009D3234"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>inequívoca</w:t>
      </w: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>, firme e incondicional de contratar;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u w:val="single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 xml:space="preserve">b) </w:t>
      </w:r>
      <w:r w:rsidR="009D3234"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>Completude</w:t>
      </w: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 xml:space="preserve"> (preço e objeto);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u w:val="single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 xml:space="preserve">c) </w:t>
      </w:r>
      <w:r w:rsidR="009D3234"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>Suficiência</w:t>
      </w: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 xml:space="preserve"> de forma ou </w:t>
      </w:r>
      <w:r w:rsidR="009D3234"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>suficiência</w:t>
      </w:r>
      <w:r w:rsidRPr="00113781">
        <w:rPr>
          <w:rFonts w:ascii="Segoe UI" w:eastAsia="Times New Roman" w:hAnsi="Segoe UI" w:cs="Segoe UI"/>
          <w:sz w:val="20"/>
          <w:szCs w:val="24"/>
          <w:u w:val="single"/>
          <w:lang w:eastAsia="pt-PT"/>
        </w:rPr>
        <w:t xml:space="preserve"> formal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 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  <w:t>Ora, Adelino, manifesta a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sua vontade firme, 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>inequívoca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de contratar, verificando-se pois, o primeiro requisito.</w:t>
      </w:r>
    </w:p>
    <w:p w:rsidR="00CA2F34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>Quanto ao requisito da completude, este postula que a proposta deve conter, os elementos essenciais do contrato a celebrar; pelo que, no caso ora em apreço (contrato de compra e venda + artigo 874º e seguintes), exige-se que, na declaração negocial conste o preço.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 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No caso ora em apreço, Adelino manifesta que, vende pelo melhor preço, apenas.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Assim sendo, o prazo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é indeterminável, pois faltam critérios objetivos, para a sua fixação e consequentemente a formação da vontade do contraente.</w:t>
      </w:r>
    </w:p>
    <w:p w:rsidR="00CA2F34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CA2F34" w:rsidRPr="00113781">
        <w:rPr>
          <w:rFonts w:ascii="Segoe UI" w:eastAsia="Times New Roman" w:hAnsi="Segoe UI" w:cs="Segoe UI"/>
          <w:sz w:val="20"/>
          <w:szCs w:val="24"/>
          <w:lang w:eastAsia="pt-PT"/>
        </w:rPr>
        <w:t> Falta pois, o requisito da completude.</w:t>
      </w:r>
    </w:p>
    <w:p w:rsidR="00CA2F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 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Quanto à forma, aplica-se a regra geral da liberdade de forma, ou segundo alguns autores, o 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>princípio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da consensuali</w:t>
      </w:r>
      <w:r w:rsidR="0024106A" w:rsidRPr="00113781">
        <w:rPr>
          <w:rFonts w:ascii="Segoe UI" w:eastAsia="Times New Roman" w:hAnsi="Segoe UI" w:cs="Segoe UI"/>
          <w:sz w:val="20"/>
          <w:szCs w:val="24"/>
          <w:lang w:eastAsia="pt-PT"/>
        </w:rPr>
        <w:t>dade, artigo 219º (</w:t>
      </w:r>
      <w:proofErr w:type="spellStart"/>
      <w:r w:rsidR="0024106A" w:rsidRPr="00113781">
        <w:rPr>
          <w:rFonts w:ascii="Segoe UI" w:eastAsia="Times New Roman" w:hAnsi="Segoe UI" w:cs="Segoe UI"/>
          <w:sz w:val="20"/>
          <w:szCs w:val="24"/>
          <w:lang w:eastAsia="pt-PT"/>
        </w:rPr>
        <w:t>C.Civil</w:t>
      </w:r>
      <w:proofErr w:type="spellEnd"/>
      <w:r w:rsidR="0024106A" w:rsidRPr="00113781">
        <w:rPr>
          <w:rFonts w:ascii="Segoe UI" w:eastAsia="Times New Roman" w:hAnsi="Segoe UI" w:cs="Segoe UI"/>
          <w:sz w:val="20"/>
          <w:szCs w:val="24"/>
          <w:lang w:eastAsia="pt-PT"/>
        </w:rPr>
        <w:t>) pelo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que, o anú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ncio no jornal é um meio suficiente de exteriorização da vontade negocial. Cumpre-se o 3º requisito, da proposta negocial.</w:t>
      </w:r>
    </w:p>
    <w:p w:rsidR="009D3234" w:rsidRPr="00113781" w:rsidRDefault="00CA2F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 </w:t>
      </w:r>
      <w:r w:rsidR="009D3234"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Todavia, como os requisitos acima apontados são cumulativos, faltando o preço, a declaração negocial é qualificada, não como proposta contratual, mas como, convite a contratar.</w:t>
      </w:r>
    </w:p>
    <w:p w:rsidR="0024106A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24106A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Posteriormente, no dia 3 de Junho, </w:t>
      </w:r>
      <w:r w:rsidR="00AC00E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Adelino e Brotas celebram contrato de compra e venda do serviço, acordando que o preço seria pago em 15 de Junho, data em que os copos seriam entregues. </w:t>
      </w:r>
    </w:p>
    <w:p w:rsidR="00A73D8B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lastRenderedPageBreak/>
        <w:tab/>
      </w:r>
      <w:r w:rsidR="00A73D8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Ora, depreende-se da formulação do caso prático que houve proposta e aceitação, preenchendo-se os </w:t>
      </w:r>
      <w:proofErr w:type="spellStart"/>
      <w:r w:rsidR="00A73D8B" w:rsidRPr="00113781">
        <w:rPr>
          <w:rFonts w:ascii="Segoe UI" w:eastAsia="Times New Roman" w:hAnsi="Segoe UI" w:cs="Segoe UI"/>
          <w:sz w:val="20"/>
          <w:szCs w:val="24"/>
          <w:lang w:eastAsia="pt-PT"/>
        </w:rPr>
        <w:t>respectivos</w:t>
      </w:r>
      <w:proofErr w:type="spellEnd"/>
      <w:r w:rsidR="00A73D8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requisitos, que já foram expostos </w:t>
      </w:r>
      <w:r w:rsidR="00A73D8B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supra</w:t>
      </w:r>
      <w:r w:rsidR="00A73D8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. 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A73D8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Havendo tal confluência de vontades negociais, verifica-se o mútuo consenso – celebra-se, pois, contrato de compra e venda, nos termos do artigo 406.º, n.º 2 do CC e 874.º CC. </w:t>
      </w:r>
    </w:p>
    <w:p w:rsidR="00C978EF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A73D8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O contrato de compra e venda produz efeitos jurídicos de natureza obrigacional e natureza real. No que se refere ao efeito real, este traduz-se na transmissão do direito de propriedade de A para B. Esta transmissão do direito real de propriedade dá-se por mero efeito do contrato – independentemente da entrega ou do pagamento do preço, o direito real transmite-se logo no momento da celebração do negócio jurídico translativo. </w:t>
      </w:r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Daí a qualificação do contrato de compra e venda como contrato real </w:t>
      </w:r>
      <w:proofErr w:type="spellStart"/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quod</w:t>
      </w:r>
      <w:proofErr w:type="spellEnd"/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 xml:space="preserve"> </w:t>
      </w:r>
      <w:proofErr w:type="spellStart"/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effectum</w:t>
      </w:r>
      <w:proofErr w:type="spellEnd"/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 xml:space="preserve"> </w:t>
      </w:r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– contrato real </w:t>
      </w:r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quanto aos efeitos</w:t>
      </w:r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(e não real </w:t>
      </w:r>
      <w:proofErr w:type="spellStart"/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quod</w:t>
      </w:r>
      <w:proofErr w:type="spellEnd"/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 xml:space="preserve"> </w:t>
      </w:r>
      <w:proofErr w:type="spellStart"/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constitutionem</w:t>
      </w:r>
      <w:proofErr w:type="spellEnd"/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, ou seja, real </w:t>
      </w:r>
      <w:r w:rsidR="00C978EF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quanto à constituição</w:t>
      </w:r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, não dependendo, pois, a transmissão da propriedade de um </w:t>
      </w:r>
      <w:proofErr w:type="spellStart"/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>acto</w:t>
      </w:r>
      <w:proofErr w:type="spellEnd"/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posterior, designadamente da entrega da coisa ou do pagamento do preço. </w:t>
      </w:r>
    </w:p>
    <w:p w:rsidR="00C978EF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>Estas conclusões decorrem inequivocamente dos artigos 408.º, n.º 1 CC e 879.º, a) CC: a constituição ou transferência de direitos reais sobre coisa determinada dá-se por mero efeito do contrato, sendo que um dos efeitos essenciais do contrato de compra e venda é precisamente a transmissão da propriedade da coisa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ou da titularidade do direito. Consequentemente</w:t>
      </w:r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podemos concluir que, a partir do dia 3 de Junho, Brotas é o proprietário do serviço de copos. </w:t>
      </w:r>
    </w:p>
    <w:p w:rsidR="00C978EF" w:rsidRPr="00113781" w:rsidRDefault="009D3234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C978EF" w:rsidRPr="00113781">
        <w:rPr>
          <w:rFonts w:ascii="Segoe UI" w:eastAsia="Times New Roman" w:hAnsi="Segoe UI" w:cs="Segoe UI"/>
          <w:sz w:val="20"/>
          <w:szCs w:val="24"/>
          <w:lang w:eastAsia="pt-PT"/>
        </w:rPr>
        <w:t>Quanto à forma do contrato, vigora aqui a regra geral de liberdade de forma ou, segundo alguma doutrina, o design</w:t>
      </w:r>
      <w:r w:rsidR="0067345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ado princípio do </w:t>
      </w:r>
      <w:proofErr w:type="spellStart"/>
      <w:r w:rsidR="0067345F" w:rsidRPr="00113781">
        <w:rPr>
          <w:rFonts w:ascii="Segoe UI" w:eastAsia="Times New Roman" w:hAnsi="Segoe UI" w:cs="Segoe UI"/>
          <w:sz w:val="20"/>
          <w:szCs w:val="24"/>
          <w:lang w:eastAsia="pt-PT"/>
        </w:rPr>
        <w:t>consensualismo</w:t>
      </w:r>
      <w:proofErr w:type="spellEnd"/>
      <w:r w:rsidR="0067345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– artigo 219.º CC. As partes celebraram o contrato por escrito – traduzindo para termos jurídicos, as partes </w:t>
      </w:r>
      <w:proofErr w:type="spellStart"/>
      <w:r w:rsidR="0067345F" w:rsidRPr="00113781">
        <w:rPr>
          <w:rFonts w:ascii="Segoe UI" w:eastAsia="Times New Roman" w:hAnsi="Segoe UI" w:cs="Segoe UI"/>
          <w:sz w:val="20"/>
          <w:szCs w:val="24"/>
          <w:lang w:eastAsia="pt-PT"/>
        </w:rPr>
        <w:t>adoptaram</w:t>
      </w:r>
      <w:proofErr w:type="spellEnd"/>
      <w:r w:rsidR="0067345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forma voluntária para a celebração do contrato de compra e venda. 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E06DD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 diferença entre a forma legal e a forma voluntária é que, enquanto a primeira decorre de uma exigência da lei que impõe determinada forma para que o contrato seja válido, a segunda opera em domínios em que vigora o princípio da liberdade de forma, mas as partes resolveram </w:t>
      </w:r>
      <w:proofErr w:type="spellStart"/>
      <w:r w:rsidR="00E06DD5" w:rsidRPr="00113781">
        <w:rPr>
          <w:rFonts w:ascii="Segoe UI" w:eastAsia="Times New Roman" w:hAnsi="Segoe UI" w:cs="Segoe UI"/>
          <w:sz w:val="20"/>
          <w:szCs w:val="24"/>
          <w:lang w:eastAsia="pt-PT"/>
        </w:rPr>
        <w:t>adoptar</w:t>
      </w:r>
      <w:proofErr w:type="spellEnd"/>
      <w:r w:rsidR="00E06DD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forma escrita (artigo 222.º CC). Nos termos deste preceito legal, se a forma escrita não for exigida por lei, mas tiver sido </w:t>
      </w:r>
      <w:proofErr w:type="spellStart"/>
      <w:r w:rsidR="00E06DD5" w:rsidRPr="00113781">
        <w:rPr>
          <w:rFonts w:ascii="Segoe UI" w:eastAsia="Times New Roman" w:hAnsi="Segoe UI" w:cs="Segoe UI"/>
          <w:sz w:val="20"/>
          <w:szCs w:val="24"/>
          <w:lang w:eastAsia="pt-PT"/>
        </w:rPr>
        <w:t>adoptada</w:t>
      </w:r>
      <w:proofErr w:type="spellEnd"/>
      <w:r w:rsidR="00E06DD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pelo autor da declaração, as estipulações verbais acessórias contemp</w:t>
      </w:r>
      <w:r w:rsidR="00113781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orâneas do escrito são válidas </w:t>
      </w:r>
      <w:r w:rsidR="00E06DD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quando se mostre que correspondem à vontade do declarante e a lei as não sujeite à forma escrita. </w:t>
      </w:r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 estipulação da data do pagamento do preço e da entrega da coisa, mesmo que não constem do documento escrito, são válidas. </w:t>
      </w:r>
    </w:p>
    <w:p w:rsidR="008702E6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>Refira-se, ainda, que o acordo das partes quanto ao pagamento do preço no dia 15 de Junho e a entrega dos copos neste mesmo dia constituem a fixação contratual do prazo para o cumprimento dos efeitos obrigacionais do contrato de compra e venda (</w:t>
      </w:r>
      <w:proofErr w:type="spellStart"/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>art</w:t>
      </w:r>
      <w:proofErr w:type="spellEnd"/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. 879,º, b) </w:t>
      </w:r>
      <w:proofErr w:type="gramStart"/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>e</w:t>
      </w:r>
      <w:proofErr w:type="gramEnd"/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c)). </w:t>
      </w:r>
    </w:p>
    <w:p w:rsidR="008702E6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lastRenderedPageBreak/>
        <w:tab/>
      </w:r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Horas depois, Carolino oferece mais dinheiro pelo serviço de copos a Adelino – este entrega de imediato o serviço, enviando um </w:t>
      </w:r>
      <w:proofErr w:type="gramStart"/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>fax</w:t>
      </w:r>
      <w:proofErr w:type="gramEnd"/>
      <w:r w:rsidR="008702E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a Brotas, afirmando que o contrato celebrado entre eles ficaria sem efeito. O que dizer</w:t>
      </w:r>
      <w:r w:rsidR="00316302" w:rsidRPr="00113781">
        <w:rPr>
          <w:rFonts w:ascii="Segoe UI" w:eastAsia="Times New Roman" w:hAnsi="Segoe UI" w:cs="Segoe UI"/>
          <w:sz w:val="20"/>
          <w:szCs w:val="24"/>
          <w:lang w:eastAsia="pt-PT"/>
        </w:rPr>
        <w:t>?</w:t>
      </w:r>
    </w:p>
    <w:p w:rsidR="00316302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316302" w:rsidRPr="00113781">
        <w:rPr>
          <w:rFonts w:ascii="Segoe UI" w:eastAsia="Times New Roman" w:hAnsi="Segoe UI" w:cs="Segoe UI"/>
          <w:sz w:val="20"/>
          <w:szCs w:val="24"/>
          <w:lang w:eastAsia="pt-PT"/>
        </w:rPr>
        <w:t>Em primeiro lugar, Adelino, ao entregar os copos, aceita tacitamente a proposta negocial de Carolino (</w:t>
      </w:r>
      <w:proofErr w:type="spellStart"/>
      <w:r w:rsidR="00316302" w:rsidRPr="00113781">
        <w:rPr>
          <w:rFonts w:ascii="Segoe UI" w:eastAsia="Times New Roman" w:hAnsi="Segoe UI" w:cs="Segoe UI"/>
          <w:sz w:val="20"/>
          <w:szCs w:val="24"/>
          <w:lang w:eastAsia="pt-PT"/>
        </w:rPr>
        <w:t>art</w:t>
      </w:r>
      <w:proofErr w:type="spellEnd"/>
      <w:r w:rsidR="00316302" w:rsidRPr="00113781">
        <w:rPr>
          <w:rFonts w:ascii="Segoe UI" w:eastAsia="Times New Roman" w:hAnsi="Segoe UI" w:cs="Segoe UI"/>
          <w:sz w:val="20"/>
          <w:szCs w:val="24"/>
          <w:lang w:eastAsia="pt-PT"/>
        </w:rPr>
        <w:t>. 217.º CC). De facto, segundo este preceito legal, entende-se por declaração tácita aquela que se “de</w:t>
      </w:r>
      <w:r w:rsidR="00E8531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duz de factos que com toda a probabilidade a revelam”. A doutrina e a jurisprudência têm entendido (unanimemente) que o início da execução contratual – i.e., o cumprimento das prestações que decorem do programa contratual – configura uma declaração tácita. </w:t>
      </w:r>
    </w:p>
    <w:p w:rsidR="00EE1B25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EE1B25" w:rsidRPr="00113781">
        <w:rPr>
          <w:rFonts w:ascii="Segoe UI" w:eastAsia="Times New Roman" w:hAnsi="Segoe UI" w:cs="Segoe UI"/>
          <w:sz w:val="20"/>
          <w:szCs w:val="24"/>
          <w:lang w:eastAsia="pt-PT"/>
        </w:rPr>
        <w:t>Assim sendo, o contrato celebrado entre Carolino e Adelino configura uma venda de bem alheio, pois Adelino já não dispõe de legitimidade para dispor do direi</w:t>
      </w:r>
      <w:r w:rsidR="001D79A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to real de propriedade sobre o serviço de copos, sendo, por isso, nulo (artigo 892.º CC e </w:t>
      </w:r>
      <w:proofErr w:type="spellStart"/>
      <w:r w:rsidR="001D79AB" w:rsidRPr="00113781">
        <w:rPr>
          <w:rFonts w:ascii="Segoe UI" w:eastAsia="Times New Roman" w:hAnsi="Segoe UI" w:cs="Segoe UI"/>
          <w:sz w:val="20"/>
          <w:szCs w:val="24"/>
          <w:lang w:eastAsia="pt-PT"/>
        </w:rPr>
        <w:t>ss</w:t>
      </w:r>
      <w:proofErr w:type="spellEnd"/>
      <w:r w:rsidR="001D79A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).  </w:t>
      </w:r>
      <w:r w:rsidR="00EE1B2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</w:t>
      </w:r>
    </w:p>
    <w:p w:rsidR="001D79AB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1D79A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Em segundo lugar, a declaração de Adelino, de que o contrato anterior ficaria sem efeito, é juridicamente uma revogação simples do contrato (a qual é uma forma de extinção das obrigações). Pode ser feita unilateralmente? Não- a modificação dos contratos só pode dar-se </w:t>
      </w:r>
      <w:r w:rsidR="006F24C1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por mútuo consenso das partes (artigo 406.º, n.º 2 CC). Aplica-se, como se vê, a mesma regra da celebração dos contratos para a sua modificação. </w:t>
      </w:r>
    </w:p>
    <w:p w:rsidR="006F24C1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6F24C1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Posteriormente, Adelino, embriagado, empresta a </w:t>
      </w:r>
      <w:proofErr w:type="spellStart"/>
      <w:r w:rsidR="006F24C1" w:rsidRPr="00113781">
        <w:rPr>
          <w:rFonts w:ascii="Segoe UI" w:eastAsia="Times New Roman" w:hAnsi="Segoe UI" w:cs="Segoe UI"/>
          <w:sz w:val="20"/>
          <w:szCs w:val="24"/>
          <w:lang w:eastAsia="pt-PT"/>
        </w:rPr>
        <w:t>Dionel</w:t>
      </w:r>
      <w:proofErr w:type="spellEnd"/>
      <w:r w:rsidR="006F24C1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250 euros, descobrindo-se mais tarde que o cheque não tinha provisão.</w:t>
      </w:r>
    </w:p>
    <w:p w:rsidR="00D4693C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6F24C1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O contrato celebrado entre Adelino e </w:t>
      </w:r>
      <w:proofErr w:type="spellStart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>Dionel</w:t>
      </w:r>
      <w:proofErr w:type="spellEnd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será qualificado como contrato de mútuo (</w:t>
      </w:r>
      <w:proofErr w:type="spellStart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>arts</w:t>
      </w:r>
      <w:proofErr w:type="spellEnd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. 1142.º e </w:t>
      </w:r>
      <w:proofErr w:type="spellStart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>ss</w:t>
      </w:r>
      <w:proofErr w:type="spellEnd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. CC). O facto de Adelino estar embriagado leva-nos a discutir se </w:t>
      </w:r>
      <w:proofErr w:type="spellStart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>se</w:t>
      </w:r>
      <w:proofErr w:type="spellEnd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trata de um caso de incapacidade acidental. Nos termos do artigo 257.º CC, a declaração negocial feita por quem, devido a qualquer causa se encontrava acidentalmente incapacitado de entender o sentido dela ou não tinha o livre exercício da sua vontade é anulável, desde que o facto seja notório ou conhecido do </w:t>
      </w:r>
      <w:proofErr w:type="spellStart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>declaratário</w:t>
      </w:r>
      <w:proofErr w:type="spellEnd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>. Para efeitos de aplicação deste normativo, entende-se que um facto é notório quando uma pessoa de normal diligência o teria podido notar (</w:t>
      </w:r>
      <w:proofErr w:type="spellStart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>art</w:t>
      </w:r>
      <w:proofErr w:type="spellEnd"/>
      <w:r w:rsidR="00CC2C7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. </w:t>
      </w:r>
      <w:r w:rsidR="006D7D4B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257.º, n.º 2 CC). Neste caso, </w:t>
      </w:r>
      <w:r w:rsidR="00F567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com os dados do caso, parece que a embriaguez de Adelino era notória, pois </w:t>
      </w:r>
      <w:proofErr w:type="spellStart"/>
      <w:r w:rsidR="00F567EF" w:rsidRPr="00113781">
        <w:rPr>
          <w:rFonts w:ascii="Segoe UI" w:eastAsia="Times New Roman" w:hAnsi="Segoe UI" w:cs="Segoe UI"/>
          <w:sz w:val="20"/>
          <w:szCs w:val="24"/>
          <w:lang w:eastAsia="pt-PT"/>
        </w:rPr>
        <w:t>Dionel</w:t>
      </w:r>
      <w:proofErr w:type="spellEnd"/>
      <w:r w:rsidR="00F567EF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“viu-o embriagado”. Assim o contrato de mútuo é anulável, dentro do ano subsequente à cessação do vício que lhe serve de fundamento – isto é, no prazo de um ano a partir do conhecimento por parte de Adelino da obrigação a que se vinculara enq</w:t>
      </w:r>
      <w:r w:rsidR="00D4693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uanto se encontrava embriagado (artigo 287.º, n.º 1 CC). </w:t>
      </w:r>
    </w:p>
    <w:p w:rsidR="00D4693C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D4693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Além disso, </w:t>
      </w:r>
      <w:proofErr w:type="spellStart"/>
      <w:r w:rsidR="00D4693C" w:rsidRPr="00113781">
        <w:rPr>
          <w:rFonts w:ascii="Segoe UI" w:eastAsia="Times New Roman" w:hAnsi="Segoe UI" w:cs="Segoe UI"/>
          <w:sz w:val="20"/>
          <w:szCs w:val="24"/>
          <w:lang w:eastAsia="pt-PT"/>
        </w:rPr>
        <w:t>Dionel</w:t>
      </w:r>
      <w:proofErr w:type="spellEnd"/>
      <w:r w:rsidR="00D4693C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recusou a entrega dos 250 euros, pois nenhum contrato havia sido celebrado. </w:t>
      </w:r>
      <w:r w:rsidR="003D7AD2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Ora, o contrato de mútuo tem como seu elemento essencial a entrega de dinheiro ou outra coisa fungível – ora, não tendo o cheque provisão, não houve a entrega do dinheiro. O contrato de mútuo é, assim, um contrato </w:t>
      </w:r>
      <w:proofErr w:type="spellStart"/>
      <w:r w:rsidR="003D7AD2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quod</w:t>
      </w:r>
      <w:proofErr w:type="spellEnd"/>
      <w:r w:rsidR="003D7AD2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 xml:space="preserve"> </w:t>
      </w:r>
      <w:proofErr w:type="spellStart"/>
      <w:r w:rsidR="003D7AD2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>constitutionem</w:t>
      </w:r>
      <w:proofErr w:type="spellEnd"/>
      <w:r w:rsidR="003D7AD2" w:rsidRPr="00113781">
        <w:rPr>
          <w:rFonts w:ascii="Segoe UI" w:eastAsia="Times New Roman" w:hAnsi="Segoe UI" w:cs="Segoe UI"/>
          <w:i/>
          <w:sz w:val="20"/>
          <w:szCs w:val="24"/>
          <w:lang w:eastAsia="pt-PT"/>
        </w:rPr>
        <w:t xml:space="preserve"> </w:t>
      </w:r>
      <w:r w:rsidR="003D7AD2" w:rsidRPr="00113781">
        <w:rPr>
          <w:rFonts w:ascii="Segoe UI" w:eastAsia="Times New Roman" w:hAnsi="Segoe UI" w:cs="Segoe UI"/>
          <w:sz w:val="20"/>
          <w:szCs w:val="24"/>
          <w:lang w:eastAsia="pt-PT"/>
        </w:rPr>
        <w:t>–</w:t>
      </w:r>
      <w:r w:rsidR="00A22B4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</w:t>
      </w:r>
      <w:proofErr w:type="spellStart"/>
      <w:r w:rsidR="00A22B43" w:rsidRPr="00113781">
        <w:rPr>
          <w:rFonts w:ascii="Segoe UI" w:eastAsia="Times New Roman" w:hAnsi="Segoe UI" w:cs="Segoe UI"/>
          <w:sz w:val="20"/>
          <w:szCs w:val="24"/>
          <w:lang w:eastAsia="pt-PT"/>
        </w:rPr>
        <w:t>Dionel</w:t>
      </w:r>
      <w:proofErr w:type="spellEnd"/>
      <w:r w:rsidR="003D7AD2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tem razão. </w:t>
      </w:r>
    </w:p>
    <w:p w:rsidR="00A22B43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lastRenderedPageBreak/>
        <w:tab/>
      </w:r>
      <w:r w:rsidR="00A22B4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Adelino exige, ainda, ao restaurante os 300 euros com que pagara o jantar do dia anterior, alegando que a comida estava estragada – o dono do restaurante recusa, invocando nota no final da ementa, segundo a qual o restaurante não aceita reclamações. </w:t>
      </w:r>
    </w:p>
    <w:p w:rsidR="00A22B43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A22B4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Ora, esta nota final é, em termos jurídicos, uma cláusula contratual geral – estas caracterizam-se pela rigidez, generalidade e pré-fixação: as cláusulas contratuais gerais elaboradas sem prévia negociação individual, que proponentes ou destinatários indeterminados se limitem, </w:t>
      </w:r>
      <w:proofErr w:type="spellStart"/>
      <w:r w:rsidR="00A22B43" w:rsidRPr="00113781">
        <w:rPr>
          <w:rFonts w:ascii="Segoe UI" w:eastAsia="Times New Roman" w:hAnsi="Segoe UI" w:cs="Segoe UI"/>
          <w:sz w:val="20"/>
          <w:szCs w:val="24"/>
          <w:lang w:eastAsia="pt-PT"/>
        </w:rPr>
        <w:t>respectivamente</w:t>
      </w:r>
      <w:proofErr w:type="spellEnd"/>
      <w:r w:rsidR="00A22B4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, a subscrever ou aceitar regem-se pelo Decreto-Lei n.º 446/85 de 25 de Outubro (chamada Lei das Cláusulas Contratuais Gerais, doravante LCCG). É o que decorre do artigo 1.º, n.º 1 deste diploma legal. </w:t>
      </w:r>
    </w:p>
    <w:p w:rsidR="00A22B43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>Este diploma legal aplica-se a todas as cláusulas contratuais gerais,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</w:t>
      </w:r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independentemente da sua forma de comunicação ao público, da extensão que assumam ou que venham a apresentar nos contratos a que se destinem – artigo 2.º LCCG. Portanto, mesmo constando da ementa do restaurante, a nota é uma cláusula contratual geral e submete-se à aplicação do regime da LCCG. </w:t>
      </w:r>
    </w:p>
    <w:p w:rsidR="00C23925" w:rsidRPr="00113781" w:rsidRDefault="00C23925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</w:p>
    <w:p w:rsidR="00C23925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As cláusulas contratuais gerais inseridas em propostas singulares incluem-se nestes contratos pela aceitação, nos termos gerais (contratos de adesão) – artigo 4.º LCCG. </w:t>
      </w:r>
    </w:p>
    <w:p w:rsidR="00C23925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>Segundo o artigo 21.º LCCG, d</w:t>
      </w:r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>)</w:t>
      </w:r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– pois, neste caso, 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>trata-se</w:t>
      </w:r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de um</w:t>
      </w: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a relação com consumidor final </w:t>
      </w:r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e não de relações entre empresários </w:t>
      </w:r>
      <w:proofErr w:type="gramStart"/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- </w:t>
      </w:r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>,</w:t>
      </w:r>
      <w:proofErr w:type="gramEnd"/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são em absoluto proibidas as cláusulas contratuais gerais que excluam ou limitem, de modo </w:t>
      </w:r>
      <w:proofErr w:type="spellStart"/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>directo</w:t>
      </w:r>
      <w:proofErr w:type="spellEnd"/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ou </w:t>
      </w:r>
      <w:proofErr w:type="spellStart"/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>indirecto</w:t>
      </w:r>
      <w:proofErr w:type="spellEnd"/>
      <w:r w:rsidR="00C23925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, a responsabilidade por danos causados à vida, à integridade moral ou física ou à saúde das pessoas. Consequentemente, a nota final na ementa do restaurante, ao limitar a responsabilidade </w:t>
      </w:r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por danos causados à saúde de Adelino pela comida por si vendida, configura um exemplo de uma cláusula contratual geral absolutamente proibida. </w:t>
      </w:r>
    </w:p>
    <w:p w:rsidR="00912EF6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>A cláusula contratual geral, sendo absolutamente proibida, é nula (</w:t>
      </w:r>
      <w:proofErr w:type="spellStart"/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>art</w:t>
      </w:r>
      <w:proofErr w:type="spellEnd"/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. 12.º LCCG), respondendo o restaurante pelos danos causados a Adelino, nos termos gerais. </w:t>
      </w:r>
    </w:p>
    <w:p w:rsidR="00912EF6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912EF6" w:rsidRPr="00113781">
        <w:rPr>
          <w:rFonts w:ascii="Segoe UI" w:eastAsia="Times New Roman" w:hAnsi="Segoe UI" w:cs="Segoe UI"/>
          <w:sz w:val="20"/>
          <w:szCs w:val="24"/>
          <w:lang w:eastAsia="pt-PT"/>
        </w:rPr>
        <w:t>Por último, Carolino pretende reagir contra Adelino</w:t>
      </w:r>
      <w:r w:rsidR="00D775C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, pois os copos não eram Atlantis. Supondo que o contrato entre os dois seria válido, Adelino invoca que a sua vontade se encontre viciada por uma falsa representação da realidade, ou seja, por erro – mais propriamente por erro sobre o </w:t>
      </w:r>
      <w:proofErr w:type="spellStart"/>
      <w:r w:rsidR="00D775C3" w:rsidRPr="00113781">
        <w:rPr>
          <w:rFonts w:ascii="Segoe UI" w:eastAsia="Times New Roman" w:hAnsi="Segoe UI" w:cs="Segoe UI"/>
          <w:sz w:val="20"/>
          <w:szCs w:val="24"/>
          <w:lang w:eastAsia="pt-PT"/>
        </w:rPr>
        <w:t>objecto</w:t>
      </w:r>
      <w:proofErr w:type="spellEnd"/>
      <w:r w:rsidR="00D775C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. Trata-se, pois, de um erro-vício – segundo o artigo 251.º CC, o erro que atinja os motivos determinantes da vontade quando se refira ao </w:t>
      </w:r>
      <w:proofErr w:type="spellStart"/>
      <w:r w:rsidR="00D775C3" w:rsidRPr="00113781">
        <w:rPr>
          <w:rFonts w:ascii="Segoe UI" w:eastAsia="Times New Roman" w:hAnsi="Segoe UI" w:cs="Segoe UI"/>
          <w:sz w:val="20"/>
          <w:szCs w:val="24"/>
          <w:lang w:eastAsia="pt-PT"/>
        </w:rPr>
        <w:t>objecto</w:t>
      </w:r>
      <w:proofErr w:type="spellEnd"/>
      <w:r w:rsidR="00D775C3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do negócio é anulável nos termos do artigo 247.º CC. Ou seja, a anulação do contrato com base em erro-vício depende da </w:t>
      </w:r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observância de dois requisitos: i) a cognoscibilidade (o </w:t>
      </w:r>
      <w:proofErr w:type="spellStart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>declaratário</w:t>
      </w:r>
      <w:proofErr w:type="spellEnd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conhecesse ou não devesse ignorar a essencialidade para o declarante do elemento sobre que incidiu o erro; </w:t>
      </w:r>
      <w:proofErr w:type="spellStart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>ii</w:t>
      </w:r>
      <w:proofErr w:type="spellEnd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) a essencialidade, ou seja, sem a parte viciada, o declarante não celebraria o </w:t>
      </w:r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lastRenderedPageBreak/>
        <w:t xml:space="preserve">contrato.  No caso em análise, encontram-se verificados ambos os requisitos, pelo que o contrato seria anulável por quem legitimidade para o fazer – Carolino (artigo 287.º CC). </w:t>
      </w:r>
    </w:p>
    <w:p w:rsidR="00D95917" w:rsidRPr="00113781" w:rsidRDefault="00113781" w:rsidP="009D3234">
      <w:pPr>
        <w:spacing w:after="0" w:line="360" w:lineRule="auto"/>
        <w:jc w:val="both"/>
        <w:rPr>
          <w:rFonts w:ascii="Segoe UI" w:eastAsia="Times New Roman" w:hAnsi="Segoe UI" w:cs="Segoe UI"/>
          <w:sz w:val="20"/>
          <w:szCs w:val="24"/>
          <w:lang w:eastAsia="pt-PT"/>
        </w:rPr>
      </w:pPr>
      <w:r w:rsidRPr="00113781">
        <w:rPr>
          <w:rFonts w:ascii="Segoe UI" w:eastAsia="Times New Roman" w:hAnsi="Segoe UI" w:cs="Segoe UI"/>
          <w:sz w:val="20"/>
          <w:szCs w:val="24"/>
          <w:lang w:eastAsia="pt-PT"/>
        </w:rPr>
        <w:tab/>
      </w:r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Note-se que Brotas, como legítimo proprietário, poderá intentar uma </w:t>
      </w:r>
      <w:proofErr w:type="spellStart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>acção</w:t>
      </w:r>
      <w:proofErr w:type="spellEnd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de reivindicação contra Adelino e Carolino para que lhe sejam entregues os copos (artigo 1311.º CC), sem prejuízo da indemnização a que terá direito pelo incumprimento contratual de Adelino (artigo 798.º CC – responsabilidade civil contratual). Poder-se-á ainda equacionar o recurso por parte de Brotas a uma </w:t>
      </w:r>
      <w:proofErr w:type="spellStart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>acção</w:t>
      </w:r>
      <w:proofErr w:type="spellEnd"/>
      <w:r w:rsidR="00D95917" w:rsidRPr="00113781">
        <w:rPr>
          <w:rFonts w:ascii="Segoe UI" w:eastAsia="Times New Roman" w:hAnsi="Segoe UI" w:cs="Segoe UI"/>
          <w:sz w:val="20"/>
          <w:szCs w:val="24"/>
          <w:lang w:eastAsia="pt-PT"/>
        </w:rPr>
        <w:t xml:space="preserve"> possessória contra Carolino (artigo 1278.º CC) – mas não contra Adelino, pois os copos já haviam sido entregues. O poder material sobre a coisa, no exercício de um direito próprio, já é exercido por Carolino – é, portanto, o possuidor. </w:t>
      </w:r>
    </w:p>
    <w:p w:rsidR="00C23925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23925" w:rsidRDefault="00C2392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D7AD2" w:rsidRDefault="003D7AD2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D7AD2" w:rsidRPr="003D7AD2" w:rsidRDefault="003D7AD2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567EF" w:rsidRPr="003D7AD2" w:rsidRDefault="00F567EF" w:rsidP="00CA2F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</w:pPr>
    </w:p>
    <w:p w:rsidR="00D4693C" w:rsidRDefault="00D4693C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D7D4B" w:rsidRDefault="006D7D4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D7D4B" w:rsidRDefault="006D7D4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702E6" w:rsidRDefault="008702E6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E06DD5" w:rsidRDefault="00E06DD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06DD5" w:rsidRDefault="00E06DD5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73D8B" w:rsidRPr="00C978EF" w:rsidRDefault="00C978EF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A73D8B" w:rsidRPr="00CA2F34" w:rsidRDefault="00A73D8B" w:rsidP="00CA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978E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736F5B" w:rsidRDefault="00736F5B"/>
    <w:sectPr w:rsidR="00736F5B" w:rsidSect="00736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F34"/>
    <w:rsid w:val="00113781"/>
    <w:rsid w:val="001D79AB"/>
    <w:rsid w:val="0024106A"/>
    <w:rsid w:val="00316302"/>
    <w:rsid w:val="003D7AD2"/>
    <w:rsid w:val="0067345F"/>
    <w:rsid w:val="006D7D4B"/>
    <w:rsid w:val="006F24C1"/>
    <w:rsid w:val="00736F5B"/>
    <w:rsid w:val="008702E6"/>
    <w:rsid w:val="009124CD"/>
    <w:rsid w:val="00912EF6"/>
    <w:rsid w:val="009D3234"/>
    <w:rsid w:val="00A22B43"/>
    <w:rsid w:val="00A73D8B"/>
    <w:rsid w:val="00AC00E3"/>
    <w:rsid w:val="00B2048B"/>
    <w:rsid w:val="00C23925"/>
    <w:rsid w:val="00C978EF"/>
    <w:rsid w:val="00CA2F34"/>
    <w:rsid w:val="00CC2C7C"/>
    <w:rsid w:val="00D4693C"/>
    <w:rsid w:val="00D775C3"/>
    <w:rsid w:val="00D95917"/>
    <w:rsid w:val="00E06DD5"/>
    <w:rsid w:val="00E8531B"/>
    <w:rsid w:val="00EE1B25"/>
    <w:rsid w:val="00F5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1823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dc:description/>
  <cp:lastModifiedBy>Jessica</cp:lastModifiedBy>
  <cp:revision>4</cp:revision>
  <dcterms:created xsi:type="dcterms:W3CDTF">2013-01-05T10:09:00Z</dcterms:created>
  <dcterms:modified xsi:type="dcterms:W3CDTF">2013-01-05T14:55:00Z</dcterms:modified>
</cp:coreProperties>
</file>