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5BB" w:rsidRDefault="000314A9" w:rsidP="008E5731">
      <w:pPr>
        <w:pStyle w:val="PargrafodaLista"/>
        <w:spacing w:after="0" w:line="360" w:lineRule="auto"/>
        <w:ind w:left="1065"/>
        <w:rPr>
          <w:rFonts w:ascii="Bookman Old Style" w:hAnsi="Bookman Old Style"/>
          <w:b/>
          <w:sz w:val="24"/>
          <w:szCs w:val="24"/>
          <w:u w:val="single"/>
        </w:rPr>
      </w:pPr>
      <w:r>
        <w:rPr>
          <w:rFonts w:ascii="Bookman Old Style" w:hAnsi="Bookman Old Style"/>
          <w:b/>
          <w:sz w:val="24"/>
          <w:szCs w:val="24"/>
          <w:u w:val="single"/>
        </w:rPr>
        <w:t>CASOS PRÁTICOS SOBRE INTERPRETAÇÃO DA LEI</w:t>
      </w:r>
    </w:p>
    <w:p w:rsidR="008E5731" w:rsidRDefault="008E5731" w:rsidP="008E5731">
      <w:pPr>
        <w:pStyle w:val="PargrafodaLista"/>
        <w:spacing w:after="0" w:line="360" w:lineRule="auto"/>
        <w:ind w:left="0"/>
        <w:rPr>
          <w:rFonts w:ascii="Bookman Old Style" w:hAnsi="Bookman Old Style"/>
          <w:b/>
          <w:sz w:val="24"/>
          <w:szCs w:val="24"/>
          <w:u w:val="single"/>
        </w:rPr>
      </w:pPr>
    </w:p>
    <w:p w:rsidR="008E5731" w:rsidRDefault="000314A9" w:rsidP="008E5731">
      <w:pPr>
        <w:pStyle w:val="PargrafodaLista"/>
        <w:spacing w:after="0" w:line="360" w:lineRule="auto"/>
        <w:ind w:left="0"/>
        <w:jc w:val="center"/>
        <w:rPr>
          <w:rFonts w:ascii="Bookman Old Style" w:hAnsi="Bookman Old Style"/>
          <w:b/>
          <w:sz w:val="24"/>
          <w:szCs w:val="24"/>
        </w:rPr>
      </w:pPr>
      <w:r w:rsidRPr="000314A9">
        <w:rPr>
          <w:rFonts w:ascii="Bookman Old Style" w:hAnsi="Bookman Old Style"/>
          <w:b/>
          <w:sz w:val="24"/>
          <w:szCs w:val="24"/>
        </w:rPr>
        <w:t>§ 2</w:t>
      </w:r>
    </w:p>
    <w:p w:rsidR="008E5731" w:rsidRDefault="008E5731" w:rsidP="008E5731">
      <w:pPr>
        <w:pStyle w:val="PargrafodaLista"/>
        <w:spacing w:after="0" w:line="360" w:lineRule="auto"/>
        <w:ind w:left="1065"/>
        <w:jc w:val="center"/>
        <w:rPr>
          <w:rFonts w:ascii="Bookman Old Style" w:hAnsi="Bookman Old Style"/>
          <w:b/>
          <w:sz w:val="24"/>
          <w:szCs w:val="24"/>
        </w:rPr>
      </w:pPr>
    </w:p>
    <w:p w:rsidR="003025BB" w:rsidRPr="008E5731" w:rsidRDefault="003025BB" w:rsidP="008E5731">
      <w:pPr>
        <w:tabs>
          <w:tab w:val="left" w:pos="3402"/>
          <w:tab w:val="left" w:pos="4253"/>
        </w:tabs>
        <w:spacing w:after="0" w:line="360" w:lineRule="auto"/>
        <w:jc w:val="center"/>
        <w:rPr>
          <w:rFonts w:ascii="Bookman Old Style" w:hAnsi="Bookman Old Style"/>
          <w:b/>
          <w:sz w:val="24"/>
          <w:szCs w:val="24"/>
        </w:rPr>
      </w:pPr>
      <w:r w:rsidRPr="008E5731">
        <w:rPr>
          <w:rFonts w:ascii="Bookman Old Style" w:hAnsi="Bookman Old Style"/>
          <w:b/>
          <w:sz w:val="24"/>
          <w:szCs w:val="24"/>
        </w:rPr>
        <w:t>I</w:t>
      </w:r>
    </w:p>
    <w:p w:rsidR="003025BB" w:rsidRPr="003025BB" w:rsidRDefault="003025BB" w:rsidP="003025BB">
      <w:pPr>
        <w:spacing w:after="0" w:line="360" w:lineRule="auto"/>
        <w:ind w:firstLine="708"/>
        <w:jc w:val="both"/>
        <w:rPr>
          <w:rFonts w:ascii="Bookman Old Style" w:hAnsi="Bookman Old Style"/>
          <w:sz w:val="24"/>
          <w:szCs w:val="24"/>
        </w:rPr>
      </w:pPr>
      <w:r w:rsidRPr="003025BB">
        <w:rPr>
          <w:rFonts w:ascii="Bookman Old Style" w:hAnsi="Bookman Old Style"/>
          <w:sz w:val="24"/>
          <w:szCs w:val="24"/>
        </w:rPr>
        <w:t>Nos termos do artigo 10.º do Regulamento-geral da CP: “</w:t>
      </w:r>
      <w:r w:rsidRPr="003025BB">
        <w:rPr>
          <w:rFonts w:ascii="Bookman Old Style" w:hAnsi="Bookman Old Style"/>
          <w:i/>
          <w:sz w:val="24"/>
          <w:szCs w:val="24"/>
        </w:rPr>
        <w:t>1 – É proibida a utilização dos comboios por pessoas que não adquiram os títulos de transporte. 2 – A violação do disposto no número anterior é punida com coima de 100 a 100.000 euros</w:t>
      </w:r>
      <w:r w:rsidRPr="003025BB">
        <w:rPr>
          <w:rFonts w:ascii="Bookman Old Style" w:hAnsi="Bookman Old Style"/>
          <w:sz w:val="24"/>
          <w:szCs w:val="24"/>
        </w:rPr>
        <w:t>”.</w:t>
      </w:r>
    </w:p>
    <w:p w:rsidR="003025BB" w:rsidRPr="003025BB" w:rsidRDefault="003025BB" w:rsidP="003025BB">
      <w:pPr>
        <w:spacing w:after="0" w:line="360" w:lineRule="auto"/>
        <w:jc w:val="both"/>
        <w:rPr>
          <w:rFonts w:ascii="Bookman Old Style" w:hAnsi="Bookman Old Style"/>
          <w:sz w:val="24"/>
          <w:szCs w:val="24"/>
        </w:rPr>
      </w:pPr>
      <w:r w:rsidRPr="003025BB">
        <w:rPr>
          <w:rFonts w:ascii="Bookman Old Style" w:hAnsi="Bookman Old Style"/>
          <w:sz w:val="24"/>
          <w:szCs w:val="24"/>
        </w:rPr>
        <w:tab/>
        <w:t>TIAGO circulava num comboio da CP a caminho de Oeiras sem bilhete. Intercetado por um revisor</w:t>
      </w:r>
      <w:proofErr w:type="gramStart"/>
      <w:r w:rsidRPr="003025BB">
        <w:rPr>
          <w:rFonts w:ascii="Bookman Old Style" w:hAnsi="Bookman Old Style"/>
          <w:sz w:val="24"/>
          <w:szCs w:val="24"/>
        </w:rPr>
        <w:t>,</w:t>
      </w:r>
      <w:proofErr w:type="gramEnd"/>
      <w:r w:rsidRPr="003025BB">
        <w:rPr>
          <w:rFonts w:ascii="Bookman Old Style" w:hAnsi="Bookman Old Style"/>
          <w:sz w:val="24"/>
          <w:szCs w:val="24"/>
        </w:rPr>
        <w:t xml:space="preserve"> sustentou que tinha adquirido o bilhete (o que conseguiu depois provar com recurso ao testemunho do funcionário da bilheteira) como o regulamento exigia mas que, uma vez cumprido tal dever, o deitou fora. Não tinha, pois, razão para ser sancionado. </w:t>
      </w:r>
      <w:proofErr w:type="spellStart"/>
      <w:r w:rsidRPr="003025BB">
        <w:rPr>
          <w:rFonts w:ascii="Bookman Old Style" w:hAnsi="Bookman Old Style"/>
          <w:i/>
          <w:sz w:val="24"/>
          <w:szCs w:val="24"/>
        </w:rPr>
        <w:t>Quid</w:t>
      </w:r>
      <w:proofErr w:type="spellEnd"/>
      <w:r w:rsidRPr="003025BB">
        <w:rPr>
          <w:rFonts w:ascii="Bookman Old Style" w:hAnsi="Bookman Old Style"/>
          <w:i/>
          <w:sz w:val="24"/>
          <w:szCs w:val="24"/>
        </w:rPr>
        <w:t xml:space="preserve"> </w:t>
      </w:r>
      <w:proofErr w:type="spellStart"/>
      <w:r w:rsidRPr="003025BB">
        <w:rPr>
          <w:rFonts w:ascii="Bookman Old Style" w:hAnsi="Bookman Old Style"/>
          <w:i/>
          <w:sz w:val="24"/>
          <w:szCs w:val="24"/>
        </w:rPr>
        <w:t>iuris</w:t>
      </w:r>
      <w:proofErr w:type="spellEnd"/>
      <w:r w:rsidRPr="003025BB">
        <w:rPr>
          <w:rFonts w:ascii="Bookman Old Style" w:hAnsi="Bookman Old Style"/>
          <w:i/>
          <w:sz w:val="24"/>
          <w:szCs w:val="24"/>
        </w:rPr>
        <w:t xml:space="preserve">? </w:t>
      </w:r>
    </w:p>
    <w:p w:rsidR="003025BB" w:rsidRPr="003025BB" w:rsidRDefault="003025BB" w:rsidP="003025BB">
      <w:pPr>
        <w:spacing w:after="0" w:line="360" w:lineRule="auto"/>
        <w:jc w:val="center"/>
        <w:rPr>
          <w:rFonts w:ascii="Bookman Old Style" w:hAnsi="Bookman Old Style"/>
          <w:b/>
          <w:sz w:val="24"/>
          <w:szCs w:val="24"/>
        </w:rPr>
      </w:pPr>
    </w:p>
    <w:p w:rsidR="003025BB" w:rsidRPr="003025BB" w:rsidRDefault="003025BB" w:rsidP="003025BB">
      <w:pPr>
        <w:spacing w:after="0" w:line="360" w:lineRule="auto"/>
        <w:jc w:val="center"/>
        <w:rPr>
          <w:rFonts w:ascii="Bookman Old Style" w:hAnsi="Bookman Old Style"/>
          <w:b/>
          <w:sz w:val="24"/>
          <w:szCs w:val="24"/>
        </w:rPr>
      </w:pPr>
      <w:r w:rsidRPr="003025BB">
        <w:rPr>
          <w:rFonts w:ascii="Bookman Old Style" w:hAnsi="Bookman Old Style"/>
          <w:b/>
          <w:sz w:val="24"/>
          <w:szCs w:val="24"/>
        </w:rPr>
        <w:t>II</w:t>
      </w:r>
    </w:p>
    <w:p w:rsidR="003025BB" w:rsidRPr="003025BB" w:rsidRDefault="003025BB" w:rsidP="003025BB">
      <w:pPr>
        <w:spacing w:after="0" w:line="360" w:lineRule="auto"/>
        <w:ind w:firstLine="705"/>
        <w:jc w:val="both"/>
        <w:rPr>
          <w:rFonts w:ascii="Bookman Old Style" w:hAnsi="Bookman Old Style"/>
          <w:sz w:val="24"/>
          <w:szCs w:val="24"/>
        </w:rPr>
      </w:pPr>
      <w:r w:rsidRPr="003025BB">
        <w:rPr>
          <w:rFonts w:ascii="Bookman Old Style" w:hAnsi="Bookman Old Style"/>
          <w:sz w:val="24"/>
          <w:szCs w:val="24"/>
        </w:rPr>
        <w:t xml:space="preserve">No contexto da criação do chamado “Dia Europeu sem Carros” – que visa, entre outros aspetos, promover a utilização de transportes alternativos ao automóvel, tendo em conta as inerentes vantagens ambientais – é aprovada a </w:t>
      </w:r>
      <w:r w:rsidRPr="003025BB">
        <w:rPr>
          <w:rFonts w:ascii="Bookman Old Style" w:hAnsi="Bookman Old Style"/>
          <w:b/>
          <w:sz w:val="24"/>
          <w:szCs w:val="24"/>
        </w:rPr>
        <w:t>Lei n.º x/1998, de 22 de outubro</w:t>
      </w:r>
      <w:r w:rsidRPr="003025BB">
        <w:rPr>
          <w:rFonts w:ascii="Bookman Old Style" w:hAnsi="Bookman Old Style"/>
          <w:sz w:val="24"/>
          <w:szCs w:val="24"/>
        </w:rPr>
        <w:t>, nos termos da qual:</w:t>
      </w:r>
    </w:p>
    <w:p w:rsidR="003025BB" w:rsidRPr="003025BB" w:rsidRDefault="003025BB" w:rsidP="003025BB">
      <w:pPr>
        <w:spacing w:after="0" w:line="360" w:lineRule="auto"/>
        <w:ind w:firstLine="705"/>
        <w:jc w:val="center"/>
        <w:rPr>
          <w:rFonts w:ascii="Bookman Old Style" w:hAnsi="Bookman Old Style"/>
          <w:i/>
          <w:sz w:val="24"/>
          <w:szCs w:val="24"/>
        </w:rPr>
      </w:pPr>
      <w:r w:rsidRPr="003025BB">
        <w:rPr>
          <w:rFonts w:ascii="Bookman Old Style" w:hAnsi="Bookman Old Style"/>
          <w:i/>
          <w:sz w:val="24"/>
          <w:szCs w:val="24"/>
        </w:rPr>
        <w:t>“Artigo 1.º</w:t>
      </w:r>
    </w:p>
    <w:p w:rsidR="003025BB" w:rsidRPr="003025BB" w:rsidRDefault="003025BB" w:rsidP="003025BB">
      <w:pPr>
        <w:spacing w:after="0" w:line="360" w:lineRule="auto"/>
        <w:ind w:firstLine="705"/>
        <w:jc w:val="both"/>
        <w:rPr>
          <w:rFonts w:ascii="Bookman Old Style" w:hAnsi="Bookman Old Style"/>
          <w:i/>
          <w:sz w:val="24"/>
          <w:szCs w:val="24"/>
        </w:rPr>
      </w:pPr>
      <w:r w:rsidRPr="003025BB">
        <w:rPr>
          <w:rFonts w:ascii="Bookman Old Style" w:hAnsi="Bookman Old Style"/>
          <w:i/>
          <w:sz w:val="24"/>
          <w:szCs w:val="24"/>
        </w:rPr>
        <w:t>1 – É criado o “Dia Europeu sem Carros” a assinalar anualmente a 22 de outubro.</w:t>
      </w:r>
    </w:p>
    <w:p w:rsidR="003025BB" w:rsidRPr="003025BB" w:rsidRDefault="003025BB" w:rsidP="003025BB">
      <w:pPr>
        <w:spacing w:after="0" w:line="360" w:lineRule="auto"/>
        <w:ind w:firstLine="705"/>
        <w:jc w:val="both"/>
        <w:rPr>
          <w:rFonts w:ascii="Bookman Old Style" w:hAnsi="Bookman Old Style"/>
          <w:i/>
          <w:sz w:val="24"/>
          <w:szCs w:val="24"/>
        </w:rPr>
      </w:pPr>
      <w:r w:rsidRPr="003025BB">
        <w:rPr>
          <w:rFonts w:ascii="Bookman Old Style" w:hAnsi="Bookman Old Style"/>
          <w:i/>
          <w:sz w:val="24"/>
          <w:szCs w:val="24"/>
        </w:rPr>
        <w:t>2 – Para efeitos de efetivação da iniciativa, é proibida a circulação de automóveis, motociclos ou outros veículos motorizados nas áreas previamente demarcadas pelas Câmaras Municipais dos concelhos que a ela aderirem.</w:t>
      </w:r>
    </w:p>
    <w:p w:rsidR="003025BB" w:rsidRPr="003025BB" w:rsidRDefault="003025BB" w:rsidP="003025BB">
      <w:pPr>
        <w:spacing w:after="0" w:line="360" w:lineRule="auto"/>
        <w:ind w:firstLine="705"/>
        <w:jc w:val="both"/>
        <w:rPr>
          <w:rFonts w:ascii="Bookman Old Style" w:hAnsi="Bookman Old Style"/>
          <w:i/>
          <w:sz w:val="24"/>
          <w:szCs w:val="24"/>
        </w:rPr>
      </w:pPr>
      <w:r w:rsidRPr="003025BB">
        <w:rPr>
          <w:rFonts w:ascii="Bookman Old Style" w:hAnsi="Bookman Old Style"/>
          <w:i/>
          <w:sz w:val="24"/>
          <w:szCs w:val="24"/>
        </w:rPr>
        <w:t>3 – O disposto no número anterior não se aplica a ambulâncias, em serviço de urgência, devidamente assinalado.</w:t>
      </w:r>
    </w:p>
    <w:p w:rsidR="003025BB" w:rsidRPr="003025BB" w:rsidRDefault="003025BB" w:rsidP="003025BB">
      <w:pPr>
        <w:spacing w:after="0" w:line="360" w:lineRule="auto"/>
        <w:ind w:firstLine="705"/>
        <w:jc w:val="both"/>
        <w:rPr>
          <w:rFonts w:ascii="Bookman Old Style" w:hAnsi="Bookman Old Style"/>
          <w:sz w:val="24"/>
          <w:szCs w:val="24"/>
        </w:rPr>
      </w:pPr>
      <w:r w:rsidRPr="003025BB">
        <w:rPr>
          <w:rFonts w:ascii="Bookman Old Style" w:hAnsi="Bookman Old Style"/>
          <w:i/>
          <w:sz w:val="24"/>
          <w:szCs w:val="24"/>
        </w:rPr>
        <w:lastRenderedPageBreak/>
        <w:t xml:space="preserve">4 – A violação do disposto no n.º 2 do presente artigo constitui </w:t>
      </w:r>
      <w:r w:rsidRPr="003025BB">
        <w:rPr>
          <w:rFonts w:ascii="Bookman Old Style" w:hAnsi="Bookman Old Style"/>
          <w:i/>
          <w:sz w:val="24"/>
          <w:szCs w:val="24"/>
        </w:rPr>
        <w:br/>
      </w:r>
      <w:proofErr w:type="spellStart"/>
      <w:proofErr w:type="gramStart"/>
      <w:r w:rsidRPr="003025BB">
        <w:rPr>
          <w:rFonts w:ascii="Bookman Old Style" w:hAnsi="Bookman Old Style"/>
          <w:i/>
          <w:sz w:val="24"/>
          <w:szCs w:val="24"/>
        </w:rPr>
        <w:t>contra-ordenação</w:t>
      </w:r>
      <w:proofErr w:type="spellEnd"/>
      <w:proofErr w:type="gramEnd"/>
      <w:r w:rsidRPr="003025BB">
        <w:rPr>
          <w:rFonts w:ascii="Bookman Old Style" w:hAnsi="Bookman Old Style"/>
          <w:i/>
          <w:sz w:val="24"/>
          <w:szCs w:val="24"/>
        </w:rPr>
        <w:t xml:space="preserve"> punida com coima de 50 a 100 mil euros, em função do grau de culpa do agente</w:t>
      </w:r>
      <w:r w:rsidRPr="003025BB">
        <w:rPr>
          <w:rFonts w:ascii="Bookman Old Style" w:hAnsi="Bookman Old Style"/>
          <w:sz w:val="24"/>
          <w:szCs w:val="24"/>
        </w:rPr>
        <w:t>”.</w:t>
      </w:r>
    </w:p>
    <w:p w:rsidR="003025BB" w:rsidRPr="003025BB" w:rsidRDefault="003025BB" w:rsidP="003025BB">
      <w:pPr>
        <w:spacing w:after="0" w:line="360" w:lineRule="auto"/>
        <w:ind w:firstLine="705"/>
        <w:jc w:val="both"/>
        <w:rPr>
          <w:rFonts w:ascii="Bookman Old Style" w:hAnsi="Bookman Old Style"/>
          <w:sz w:val="24"/>
          <w:szCs w:val="24"/>
        </w:rPr>
      </w:pPr>
    </w:p>
    <w:p w:rsidR="003025BB" w:rsidRPr="003025BB" w:rsidRDefault="003025BB" w:rsidP="003025BB">
      <w:pPr>
        <w:spacing w:after="0" w:line="360" w:lineRule="auto"/>
        <w:ind w:firstLine="705"/>
        <w:jc w:val="both"/>
        <w:rPr>
          <w:rFonts w:ascii="Bookman Old Style" w:hAnsi="Bookman Old Style"/>
          <w:sz w:val="24"/>
          <w:szCs w:val="24"/>
        </w:rPr>
      </w:pPr>
      <w:r w:rsidRPr="003025BB">
        <w:rPr>
          <w:rFonts w:ascii="Bookman Old Style" w:hAnsi="Bookman Old Style"/>
          <w:sz w:val="24"/>
          <w:szCs w:val="24"/>
        </w:rPr>
        <w:t>No dia 22 de outubro de 1999 (quando já se encontrava em vigor a presente lei) MARÍLIA, mãe de HIPÓLITO (com um já longo historial de problemas cardíacos) sofre um AVC. Confrontado com a necessidade de a socorrer, e receando que os procedimentos normais associados à solicitação de uma ambulância pudessem “atrasar fatalmente” esse mesmo socorro, HIPÓLITO coloca a mãe no seu próprio carro a fim de a transportar ao Hospital.</w:t>
      </w:r>
    </w:p>
    <w:p w:rsidR="003025BB" w:rsidRDefault="003025BB" w:rsidP="003025BB">
      <w:pPr>
        <w:spacing w:after="0" w:line="360" w:lineRule="auto"/>
        <w:ind w:firstLine="705"/>
        <w:jc w:val="both"/>
        <w:rPr>
          <w:rFonts w:ascii="Bookman Old Style" w:hAnsi="Bookman Old Style"/>
          <w:sz w:val="24"/>
          <w:szCs w:val="24"/>
        </w:rPr>
      </w:pPr>
      <w:r w:rsidRPr="003025BB">
        <w:rPr>
          <w:rFonts w:ascii="Bookman Old Style" w:hAnsi="Bookman Old Style"/>
          <w:sz w:val="24"/>
          <w:szCs w:val="24"/>
        </w:rPr>
        <w:t>Porém, MARÍLIA reside na Rua de Arroios que, precisamente</w:t>
      </w:r>
      <w:proofErr w:type="gramStart"/>
      <w:r w:rsidRPr="003025BB">
        <w:rPr>
          <w:rFonts w:ascii="Bookman Old Style" w:hAnsi="Bookman Old Style"/>
          <w:sz w:val="24"/>
          <w:szCs w:val="24"/>
        </w:rPr>
        <w:t>,</w:t>
      </w:r>
      <w:proofErr w:type="gramEnd"/>
      <w:r w:rsidRPr="003025BB">
        <w:rPr>
          <w:rFonts w:ascii="Bookman Old Style" w:hAnsi="Bookman Old Style"/>
          <w:sz w:val="24"/>
          <w:szCs w:val="24"/>
        </w:rPr>
        <w:t xml:space="preserve"> tinha sido demarcada pela CML como uma das áreas onde, no âmbito do «Dia Europeu Sem Carros», era proibida a circulação de veículos motorizados. Por isso, apesar de ter assinalado devidamente que circulava em missão urgente de socorro, HIPÓLITO foi intercetado por um militar da GNR que levantou um Auto de </w:t>
      </w:r>
      <w:proofErr w:type="spellStart"/>
      <w:r w:rsidRPr="003025BB">
        <w:rPr>
          <w:rFonts w:ascii="Bookman Old Style" w:hAnsi="Bookman Old Style"/>
          <w:sz w:val="24"/>
          <w:szCs w:val="24"/>
        </w:rPr>
        <w:t>Contra-Ordenação</w:t>
      </w:r>
      <w:proofErr w:type="spellEnd"/>
      <w:r w:rsidRPr="003025BB">
        <w:rPr>
          <w:rFonts w:ascii="Bookman Old Style" w:hAnsi="Bookman Old Style"/>
          <w:sz w:val="24"/>
          <w:szCs w:val="24"/>
        </w:rPr>
        <w:t xml:space="preserve">. O filho extremoso considera, porém, não ter cometido infração alguma. </w:t>
      </w:r>
    </w:p>
    <w:p w:rsidR="003025BB" w:rsidRPr="003025BB" w:rsidRDefault="003025BB" w:rsidP="003025BB">
      <w:pPr>
        <w:spacing w:after="0" w:line="360" w:lineRule="auto"/>
        <w:ind w:firstLine="705"/>
        <w:jc w:val="both"/>
        <w:rPr>
          <w:rFonts w:ascii="Bookman Old Style" w:hAnsi="Bookman Old Style"/>
          <w:sz w:val="24"/>
          <w:szCs w:val="24"/>
        </w:rPr>
      </w:pPr>
      <w:proofErr w:type="spellStart"/>
      <w:r w:rsidRPr="003025BB">
        <w:rPr>
          <w:rFonts w:ascii="Bookman Old Style" w:hAnsi="Bookman Old Style"/>
          <w:i/>
          <w:sz w:val="24"/>
          <w:szCs w:val="24"/>
        </w:rPr>
        <w:t>Quid</w:t>
      </w:r>
      <w:proofErr w:type="spellEnd"/>
      <w:r w:rsidRPr="003025BB">
        <w:rPr>
          <w:rFonts w:ascii="Bookman Old Style" w:hAnsi="Bookman Old Style"/>
          <w:i/>
          <w:sz w:val="24"/>
          <w:szCs w:val="24"/>
        </w:rPr>
        <w:t xml:space="preserve"> </w:t>
      </w:r>
      <w:proofErr w:type="spellStart"/>
      <w:r w:rsidRPr="003025BB">
        <w:rPr>
          <w:rFonts w:ascii="Bookman Old Style" w:hAnsi="Bookman Old Style"/>
          <w:i/>
          <w:sz w:val="24"/>
          <w:szCs w:val="24"/>
        </w:rPr>
        <w:t>iuris</w:t>
      </w:r>
      <w:proofErr w:type="spellEnd"/>
      <w:r w:rsidRPr="003025BB">
        <w:rPr>
          <w:rFonts w:ascii="Bookman Old Style" w:hAnsi="Bookman Old Style"/>
          <w:i/>
          <w:sz w:val="24"/>
          <w:szCs w:val="24"/>
        </w:rPr>
        <w:t>?</w:t>
      </w:r>
    </w:p>
    <w:p w:rsidR="003025BB" w:rsidRPr="003025BB" w:rsidRDefault="003025BB" w:rsidP="003025BB">
      <w:pPr>
        <w:spacing w:after="0" w:line="360" w:lineRule="auto"/>
        <w:jc w:val="both"/>
        <w:rPr>
          <w:rFonts w:ascii="Bookman Old Style" w:hAnsi="Bookman Old Style"/>
          <w:sz w:val="24"/>
          <w:szCs w:val="24"/>
        </w:rPr>
      </w:pPr>
    </w:p>
    <w:p w:rsidR="003025BB" w:rsidRPr="003025BB" w:rsidRDefault="003025BB" w:rsidP="003025BB">
      <w:pPr>
        <w:spacing w:after="0" w:line="360" w:lineRule="auto"/>
        <w:rPr>
          <w:rFonts w:ascii="Bookman Old Style" w:hAnsi="Bookman Old Style"/>
          <w:b/>
          <w:sz w:val="24"/>
          <w:szCs w:val="24"/>
        </w:rPr>
      </w:pPr>
    </w:p>
    <w:p w:rsidR="003025BB" w:rsidRPr="008E5731" w:rsidRDefault="003025BB" w:rsidP="008E5731">
      <w:pPr>
        <w:spacing w:after="0" w:line="360" w:lineRule="auto"/>
        <w:jc w:val="center"/>
        <w:rPr>
          <w:rFonts w:ascii="Bookman Old Style" w:hAnsi="Bookman Old Style"/>
          <w:b/>
          <w:sz w:val="24"/>
          <w:szCs w:val="24"/>
        </w:rPr>
      </w:pPr>
      <w:r w:rsidRPr="008E5731">
        <w:rPr>
          <w:rFonts w:ascii="Bookman Old Style" w:hAnsi="Bookman Old Style"/>
          <w:b/>
          <w:sz w:val="24"/>
          <w:szCs w:val="24"/>
        </w:rPr>
        <w:t>III</w:t>
      </w:r>
    </w:p>
    <w:p w:rsidR="003025BB" w:rsidRPr="003025BB" w:rsidRDefault="003025BB" w:rsidP="003025BB">
      <w:pPr>
        <w:spacing w:after="0" w:line="360" w:lineRule="auto"/>
        <w:ind w:firstLine="705"/>
        <w:jc w:val="both"/>
        <w:rPr>
          <w:rFonts w:ascii="Bookman Old Style" w:hAnsi="Bookman Old Style"/>
          <w:sz w:val="24"/>
          <w:szCs w:val="24"/>
        </w:rPr>
      </w:pPr>
      <w:r w:rsidRPr="003025BB">
        <w:rPr>
          <w:rFonts w:ascii="Bookman Old Style" w:hAnsi="Bookman Old Style"/>
          <w:sz w:val="24"/>
          <w:szCs w:val="24"/>
        </w:rPr>
        <w:t>Suponha que o Código do Trabalho dispõe, quanto ao direito a férias dos trabalhadores, o seguinte</w:t>
      </w:r>
      <w:r w:rsidRPr="003025BB">
        <w:rPr>
          <w:rStyle w:val="Refdenotaderodap"/>
          <w:rFonts w:ascii="Bookman Old Style" w:hAnsi="Bookman Old Style"/>
          <w:sz w:val="24"/>
          <w:szCs w:val="24"/>
        </w:rPr>
        <w:footnoteReference w:id="1"/>
      </w:r>
      <w:r w:rsidRPr="003025BB">
        <w:rPr>
          <w:rFonts w:ascii="Bookman Old Style" w:hAnsi="Bookman Old Style"/>
          <w:sz w:val="24"/>
          <w:szCs w:val="24"/>
        </w:rPr>
        <w:t>:</w:t>
      </w:r>
    </w:p>
    <w:p w:rsidR="003025BB" w:rsidRPr="003025BB" w:rsidRDefault="003025BB" w:rsidP="003025BB">
      <w:pPr>
        <w:spacing w:after="0" w:line="360" w:lineRule="auto"/>
        <w:ind w:firstLine="705"/>
        <w:jc w:val="both"/>
        <w:rPr>
          <w:rFonts w:ascii="Bookman Old Style" w:hAnsi="Bookman Old Style"/>
          <w:sz w:val="24"/>
          <w:szCs w:val="24"/>
        </w:rPr>
      </w:pPr>
    </w:p>
    <w:p w:rsidR="003025BB" w:rsidRPr="003025BB" w:rsidRDefault="003025BB" w:rsidP="003025BB">
      <w:pPr>
        <w:spacing w:after="0" w:line="360" w:lineRule="auto"/>
        <w:ind w:firstLine="705"/>
        <w:jc w:val="center"/>
        <w:rPr>
          <w:rFonts w:ascii="Bookman Old Style" w:hAnsi="Bookman Old Style"/>
          <w:i/>
          <w:sz w:val="24"/>
          <w:szCs w:val="24"/>
        </w:rPr>
      </w:pPr>
      <w:r w:rsidRPr="003025BB">
        <w:rPr>
          <w:rFonts w:ascii="Bookman Old Style" w:hAnsi="Bookman Old Style"/>
          <w:i/>
          <w:sz w:val="24"/>
          <w:szCs w:val="24"/>
        </w:rPr>
        <w:t>“Artigo x</w:t>
      </w:r>
    </w:p>
    <w:p w:rsidR="003025BB" w:rsidRPr="003025BB" w:rsidRDefault="003025BB" w:rsidP="003025BB">
      <w:pPr>
        <w:spacing w:after="0" w:line="360" w:lineRule="auto"/>
        <w:ind w:firstLine="705"/>
        <w:jc w:val="both"/>
        <w:rPr>
          <w:rFonts w:ascii="Bookman Old Style" w:hAnsi="Bookman Old Style"/>
          <w:i/>
          <w:sz w:val="24"/>
          <w:szCs w:val="24"/>
        </w:rPr>
      </w:pPr>
      <w:r w:rsidRPr="003025BB">
        <w:rPr>
          <w:rFonts w:ascii="Bookman Old Style" w:hAnsi="Bookman Old Style"/>
          <w:i/>
          <w:sz w:val="24"/>
          <w:szCs w:val="24"/>
        </w:rPr>
        <w:t xml:space="preserve"> O trabalhador tem direito, em cada ano civil, a um período de 22 dias úteis de férias.</w:t>
      </w:r>
    </w:p>
    <w:p w:rsidR="003025BB" w:rsidRDefault="003025BB" w:rsidP="003025BB">
      <w:pPr>
        <w:spacing w:after="0" w:line="360" w:lineRule="auto"/>
        <w:ind w:firstLine="705"/>
        <w:jc w:val="both"/>
        <w:rPr>
          <w:rFonts w:ascii="Bookman Old Style" w:hAnsi="Bookman Old Style"/>
          <w:i/>
          <w:sz w:val="24"/>
          <w:szCs w:val="24"/>
        </w:rPr>
      </w:pPr>
    </w:p>
    <w:p w:rsidR="000314A9" w:rsidRDefault="000314A9" w:rsidP="003025BB">
      <w:pPr>
        <w:spacing w:after="0" w:line="360" w:lineRule="auto"/>
        <w:ind w:firstLine="705"/>
        <w:jc w:val="both"/>
        <w:rPr>
          <w:rFonts w:ascii="Bookman Old Style" w:hAnsi="Bookman Old Style"/>
          <w:i/>
          <w:sz w:val="24"/>
          <w:szCs w:val="24"/>
        </w:rPr>
      </w:pPr>
    </w:p>
    <w:p w:rsidR="000314A9" w:rsidRPr="003025BB" w:rsidRDefault="000314A9" w:rsidP="003025BB">
      <w:pPr>
        <w:spacing w:after="0" w:line="360" w:lineRule="auto"/>
        <w:ind w:firstLine="705"/>
        <w:jc w:val="both"/>
        <w:rPr>
          <w:rFonts w:ascii="Bookman Old Style" w:hAnsi="Bookman Old Style"/>
          <w:i/>
          <w:sz w:val="24"/>
          <w:szCs w:val="24"/>
        </w:rPr>
      </w:pPr>
    </w:p>
    <w:p w:rsidR="003025BB" w:rsidRPr="003025BB" w:rsidRDefault="003025BB" w:rsidP="003025BB">
      <w:pPr>
        <w:spacing w:after="0" w:line="360" w:lineRule="auto"/>
        <w:ind w:firstLine="705"/>
        <w:jc w:val="center"/>
        <w:rPr>
          <w:rFonts w:ascii="Bookman Old Style" w:hAnsi="Bookman Old Style"/>
          <w:i/>
          <w:sz w:val="24"/>
          <w:szCs w:val="24"/>
        </w:rPr>
      </w:pPr>
      <w:r w:rsidRPr="003025BB">
        <w:rPr>
          <w:rFonts w:ascii="Bookman Old Style" w:hAnsi="Bookman Old Style"/>
          <w:i/>
          <w:sz w:val="24"/>
          <w:szCs w:val="24"/>
        </w:rPr>
        <w:lastRenderedPageBreak/>
        <w:t>Artigo y</w:t>
      </w:r>
    </w:p>
    <w:p w:rsidR="003025BB" w:rsidRDefault="003025BB" w:rsidP="003025BB">
      <w:pPr>
        <w:spacing w:after="0" w:line="360" w:lineRule="auto"/>
        <w:ind w:firstLine="705"/>
        <w:jc w:val="both"/>
        <w:rPr>
          <w:rFonts w:ascii="Bookman Old Style" w:hAnsi="Bookman Old Style"/>
          <w:i/>
          <w:sz w:val="24"/>
          <w:szCs w:val="24"/>
        </w:rPr>
      </w:pPr>
      <w:r w:rsidRPr="003025BB">
        <w:rPr>
          <w:rFonts w:ascii="Bookman Old Style" w:hAnsi="Bookman Old Style"/>
          <w:i/>
          <w:sz w:val="24"/>
          <w:szCs w:val="24"/>
        </w:rPr>
        <w:t>O direito a férias é irrenunciável e o seu gozo não pode ser substituído, ainda que com o acordo do trabalhador, por qualquer compensação económica ou outra, salvo nos casos previstos na lei.</w:t>
      </w:r>
    </w:p>
    <w:p w:rsidR="003025BB" w:rsidRDefault="003025BB" w:rsidP="003025BB">
      <w:pPr>
        <w:spacing w:after="0" w:line="360" w:lineRule="auto"/>
        <w:ind w:firstLine="705"/>
        <w:jc w:val="both"/>
        <w:rPr>
          <w:rFonts w:ascii="Bookman Old Style" w:hAnsi="Bookman Old Style"/>
          <w:i/>
          <w:sz w:val="24"/>
          <w:szCs w:val="24"/>
        </w:rPr>
      </w:pPr>
    </w:p>
    <w:p w:rsidR="003025BB" w:rsidRPr="003025BB" w:rsidRDefault="003025BB" w:rsidP="003025BB">
      <w:pPr>
        <w:spacing w:after="0" w:line="360" w:lineRule="auto"/>
        <w:ind w:firstLine="705"/>
        <w:jc w:val="both"/>
        <w:rPr>
          <w:rFonts w:ascii="Bookman Old Style" w:hAnsi="Bookman Old Style"/>
          <w:i/>
          <w:sz w:val="24"/>
          <w:szCs w:val="24"/>
        </w:rPr>
      </w:pPr>
    </w:p>
    <w:p w:rsidR="003025BB" w:rsidRPr="003025BB" w:rsidRDefault="003025BB" w:rsidP="003025BB">
      <w:pPr>
        <w:spacing w:after="0" w:line="360" w:lineRule="auto"/>
        <w:ind w:firstLine="705"/>
        <w:jc w:val="center"/>
        <w:rPr>
          <w:rFonts w:ascii="Bookman Old Style" w:hAnsi="Bookman Old Style"/>
          <w:i/>
          <w:sz w:val="24"/>
          <w:szCs w:val="24"/>
        </w:rPr>
      </w:pPr>
      <w:r w:rsidRPr="003025BB">
        <w:rPr>
          <w:rFonts w:ascii="Bookman Old Style" w:hAnsi="Bookman Old Style"/>
          <w:i/>
          <w:sz w:val="24"/>
          <w:szCs w:val="24"/>
        </w:rPr>
        <w:t>Artigo z</w:t>
      </w:r>
    </w:p>
    <w:p w:rsidR="003025BB" w:rsidRPr="003025BB" w:rsidRDefault="003025BB" w:rsidP="003025BB">
      <w:pPr>
        <w:spacing w:after="0" w:line="360" w:lineRule="auto"/>
        <w:ind w:firstLine="705"/>
        <w:jc w:val="both"/>
        <w:rPr>
          <w:rFonts w:ascii="Bookman Old Style" w:hAnsi="Bookman Old Style"/>
          <w:i/>
          <w:sz w:val="24"/>
          <w:szCs w:val="24"/>
        </w:rPr>
      </w:pPr>
      <w:r w:rsidRPr="003025BB">
        <w:rPr>
          <w:rFonts w:ascii="Bookman Old Style" w:hAnsi="Bookman Old Style"/>
          <w:i/>
          <w:sz w:val="24"/>
          <w:szCs w:val="24"/>
        </w:rPr>
        <w:t>1 – O período de férias é marcado por acordo entre trabalhador e empregador, mas na falta de acordo, o empregador pode fixá-lo unilateralmente.</w:t>
      </w:r>
    </w:p>
    <w:p w:rsidR="003025BB" w:rsidRPr="003025BB" w:rsidRDefault="003025BB" w:rsidP="003025BB">
      <w:pPr>
        <w:spacing w:after="0" w:line="360" w:lineRule="auto"/>
        <w:ind w:firstLine="705"/>
        <w:jc w:val="both"/>
        <w:rPr>
          <w:rFonts w:ascii="Bookman Old Style" w:hAnsi="Bookman Old Style"/>
          <w:sz w:val="24"/>
          <w:szCs w:val="24"/>
        </w:rPr>
      </w:pPr>
      <w:r w:rsidRPr="003025BB">
        <w:rPr>
          <w:rFonts w:ascii="Bookman Old Style" w:hAnsi="Bookman Old Style"/>
          <w:i/>
          <w:sz w:val="24"/>
          <w:szCs w:val="24"/>
        </w:rPr>
        <w:t>2 – No caso previsto no número anterior, o empregador que exerça atividade ligada ao turismo, está obrigado a marcar 25% do período de férias a que os trabalhadores têm direito, entre 1 de maio e 31 de outubro</w:t>
      </w:r>
      <w:r w:rsidRPr="003025BB">
        <w:rPr>
          <w:rFonts w:ascii="Bookman Old Style" w:hAnsi="Bookman Old Style"/>
          <w:sz w:val="24"/>
          <w:szCs w:val="24"/>
        </w:rPr>
        <w:t>”.</w:t>
      </w:r>
    </w:p>
    <w:p w:rsidR="003025BB" w:rsidRPr="003025BB" w:rsidRDefault="003025BB" w:rsidP="003025BB">
      <w:pPr>
        <w:spacing w:after="0" w:line="360" w:lineRule="auto"/>
        <w:ind w:firstLine="705"/>
        <w:jc w:val="both"/>
        <w:rPr>
          <w:rFonts w:ascii="Bookman Old Style" w:hAnsi="Bookman Old Style"/>
          <w:sz w:val="24"/>
          <w:szCs w:val="24"/>
        </w:rPr>
      </w:pPr>
    </w:p>
    <w:p w:rsidR="003025BB" w:rsidRPr="003025BB" w:rsidRDefault="003025BB" w:rsidP="003025BB">
      <w:pPr>
        <w:spacing w:after="0" w:line="360" w:lineRule="auto"/>
        <w:ind w:firstLine="705"/>
        <w:jc w:val="both"/>
        <w:rPr>
          <w:rFonts w:ascii="Bookman Old Style" w:hAnsi="Bookman Old Style"/>
          <w:sz w:val="24"/>
          <w:szCs w:val="24"/>
        </w:rPr>
      </w:pPr>
      <w:r w:rsidRPr="003025BB">
        <w:rPr>
          <w:rFonts w:ascii="Bookman Old Style" w:hAnsi="Bookman Old Style"/>
          <w:sz w:val="24"/>
          <w:szCs w:val="24"/>
        </w:rPr>
        <w:t xml:space="preserve">ALBERTO SOARES é rececionista no Hotel “Quem fica, paga, </w:t>
      </w:r>
      <w:proofErr w:type="spellStart"/>
      <w:r w:rsidRPr="003025BB">
        <w:rPr>
          <w:rFonts w:ascii="Bookman Old Style" w:hAnsi="Bookman Old Style"/>
          <w:sz w:val="24"/>
          <w:szCs w:val="24"/>
        </w:rPr>
        <w:t>Lda</w:t>
      </w:r>
      <w:proofErr w:type="spellEnd"/>
      <w:r w:rsidRPr="003025BB">
        <w:rPr>
          <w:rFonts w:ascii="Bookman Old Style" w:hAnsi="Bookman Old Style"/>
          <w:sz w:val="24"/>
          <w:szCs w:val="24"/>
        </w:rPr>
        <w:t xml:space="preserve">” situado em Quarteira. Perante o grande afluxo de turistas do Hotel na época alta, e não tendo chegado a acordo com o trabalhador, a administração do Hotel determina que o seu período de férias será gozado “aos meios-dias” – abrangendo, concretamente, as tardes de onze dias, de 2 a 16 de maio. ALBERTO SOARES insurge-se contra esta decisão que o impede de usar as férias para concretizar uma muito ansiada viagem ao Egito. A administração do Hotel responde que, para o efeito, poderá utilizar o tempo remanescente, a gozar em “época baixa” (que se compromete a proporcionar sob a forma de dias completos) e que, em qualquer caso, o cômputo do período de férias a que se refere o n.º 2 do artigo Z, sempre incluiria meios-dias (pois que 25% de 22 dias são 5 dias e meio). </w:t>
      </w:r>
      <w:proofErr w:type="spellStart"/>
      <w:r w:rsidRPr="003025BB">
        <w:rPr>
          <w:rFonts w:ascii="Bookman Old Style" w:hAnsi="Bookman Old Style"/>
          <w:i/>
          <w:sz w:val="24"/>
          <w:szCs w:val="24"/>
        </w:rPr>
        <w:t>Quid</w:t>
      </w:r>
      <w:proofErr w:type="spellEnd"/>
      <w:r w:rsidRPr="003025BB">
        <w:rPr>
          <w:rFonts w:ascii="Bookman Old Style" w:hAnsi="Bookman Old Style"/>
          <w:i/>
          <w:sz w:val="24"/>
          <w:szCs w:val="24"/>
        </w:rPr>
        <w:t xml:space="preserve"> </w:t>
      </w:r>
      <w:proofErr w:type="spellStart"/>
      <w:r w:rsidRPr="003025BB">
        <w:rPr>
          <w:rFonts w:ascii="Bookman Old Style" w:hAnsi="Bookman Old Style"/>
          <w:i/>
          <w:sz w:val="24"/>
          <w:szCs w:val="24"/>
        </w:rPr>
        <w:t>iuris</w:t>
      </w:r>
      <w:proofErr w:type="spellEnd"/>
      <w:r w:rsidRPr="003025BB">
        <w:rPr>
          <w:rFonts w:ascii="Bookman Old Style" w:hAnsi="Bookman Old Style"/>
          <w:i/>
          <w:sz w:val="24"/>
          <w:szCs w:val="24"/>
        </w:rPr>
        <w:t>?</w:t>
      </w:r>
    </w:p>
    <w:p w:rsidR="003025BB" w:rsidRPr="003025BB" w:rsidRDefault="003025BB" w:rsidP="003025BB">
      <w:pPr>
        <w:spacing w:after="0" w:line="360" w:lineRule="auto"/>
        <w:ind w:firstLine="705"/>
        <w:jc w:val="both"/>
        <w:rPr>
          <w:rFonts w:ascii="Bookman Old Style" w:hAnsi="Bookman Old Style"/>
          <w:sz w:val="24"/>
          <w:szCs w:val="24"/>
        </w:rPr>
      </w:pPr>
    </w:p>
    <w:p w:rsidR="003025BB" w:rsidRPr="003025BB" w:rsidRDefault="003025BB" w:rsidP="003025BB">
      <w:pPr>
        <w:pStyle w:val="PargrafodaLista"/>
        <w:spacing w:after="0" w:line="360" w:lineRule="auto"/>
        <w:ind w:left="1065"/>
        <w:jc w:val="center"/>
        <w:rPr>
          <w:rFonts w:ascii="Bookman Old Style" w:hAnsi="Bookman Old Style"/>
          <w:b/>
          <w:sz w:val="24"/>
          <w:szCs w:val="24"/>
        </w:rPr>
      </w:pPr>
      <w:r>
        <w:rPr>
          <w:rFonts w:ascii="Bookman Old Style" w:hAnsi="Bookman Old Style"/>
          <w:b/>
          <w:sz w:val="24"/>
          <w:szCs w:val="24"/>
        </w:rPr>
        <w:t>IV</w:t>
      </w:r>
    </w:p>
    <w:p w:rsidR="003025BB" w:rsidRPr="003025BB" w:rsidRDefault="003025BB" w:rsidP="003025BB">
      <w:pPr>
        <w:spacing w:after="0" w:line="360" w:lineRule="auto"/>
        <w:ind w:firstLine="705"/>
        <w:jc w:val="both"/>
        <w:rPr>
          <w:rFonts w:ascii="Bookman Old Style" w:hAnsi="Bookman Old Style"/>
          <w:sz w:val="24"/>
          <w:szCs w:val="24"/>
        </w:rPr>
      </w:pPr>
      <w:r w:rsidRPr="003025BB">
        <w:rPr>
          <w:rFonts w:ascii="Bookman Old Style" w:hAnsi="Bookman Old Style"/>
          <w:sz w:val="24"/>
          <w:szCs w:val="24"/>
        </w:rPr>
        <w:t xml:space="preserve">Suponha que no quadro das dificuldades financeiras que o país atravessa, um Governo minoritário do partido X consegue fazer aprovar no Parlamento, com o apoio desse mesmo partido, a Lei a/2090, de 29 </w:t>
      </w:r>
      <w:r w:rsidRPr="003025BB">
        <w:rPr>
          <w:rFonts w:ascii="Bookman Old Style" w:hAnsi="Bookman Old Style"/>
          <w:sz w:val="24"/>
          <w:szCs w:val="24"/>
        </w:rPr>
        <w:lastRenderedPageBreak/>
        <w:t>de fevereiro, nos termos da qual: “</w:t>
      </w:r>
      <w:r w:rsidRPr="003025BB">
        <w:rPr>
          <w:rFonts w:ascii="Bookman Old Style" w:hAnsi="Bookman Old Style"/>
          <w:i/>
          <w:sz w:val="24"/>
          <w:szCs w:val="24"/>
        </w:rPr>
        <w:t>ficam congeladas por cinco anos as progressões na carreira dos profissionais ligados ao setor da Educação</w:t>
      </w:r>
      <w:r w:rsidRPr="003025BB">
        <w:rPr>
          <w:rFonts w:ascii="Bookman Old Style" w:hAnsi="Bookman Old Style"/>
          <w:sz w:val="24"/>
          <w:szCs w:val="24"/>
        </w:rPr>
        <w:t>”.</w:t>
      </w:r>
    </w:p>
    <w:p w:rsidR="003025BB" w:rsidRPr="003025BB" w:rsidRDefault="003025BB" w:rsidP="003025BB">
      <w:pPr>
        <w:spacing w:after="0" w:line="360" w:lineRule="auto"/>
        <w:jc w:val="both"/>
        <w:rPr>
          <w:rFonts w:ascii="Bookman Old Style" w:hAnsi="Bookman Old Style"/>
          <w:sz w:val="24"/>
          <w:szCs w:val="24"/>
        </w:rPr>
      </w:pPr>
      <w:r w:rsidRPr="003025BB">
        <w:rPr>
          <w:rFonts w:ascii="Bookman Old Style" w:hAnsi="Bookman Old Style"/>
          <w:sz w:val="24"/>
          <w:szCs w:val="24"/>
        </w:rPr>
        <w:tab/>
        <w:t xml:space="preserve">Com o intuito de provocar o desgaste político do Governo, de imediato os partidos da oposição se juntam e fazem aprovar a Lei b/2090.Do articulado consta o seguinte artigo único: </w:t>
      </w:r>
    </w:p>
    <w:p w:rsidR="003025BB" w:rsidRPr="003025BB" w:rsidRDefault="003025BB" w:rsidP="003025BB">
      <w:pPr>
        <w:spacing w:after="0" w:line="360" w:lineRule="auto"/>
        <w:jc w:val="both"/>
        <w:rPr>
          <w:rFonts w:ascii="Bookman Old Style" w:hAnsi="Bookman Old Style"/>
          <w:i/>
          <w:sz w:val="24"/>
          <w:szCs w:val="24"/>
        </w:rPr>
      </w:pPr>
      <w:r w:rsidRPr="003025BB">
        <w:rPr>
          <w:rFonts w:ascii="Bookman Old Style" w:hAnsi="Bookman Old Style"/>
          <w:sz w:val="24"/>
          <w:szCs w:val="24"/>
        </w:rPr>
        <w:tab/>
        <w:t xml:space="preserve">“ </w:t>
      </w:r>
      <w:r w:rsidRPr="003025BB">
        <w:rPr>
          <w:rFonts w:ascii="Bookman Old Style" w:hAnsi="Bookman Old Style"/>
          <w:i/>
          <w:sz w:val="24"/>
          <w:szCs w:val="24"/>
        </w:rPr>
        <w:t>1 – Em cada Escola será criada uma Comissão Especial de Reflexão sobre a Reforma do Regime de Progressão nas Carreiras dos profissionais ligados ao setor da Educação.</w:t>
      </w:r>
    </w:p>
    <w:p w:rsidR="003025BB" w:rsidRPr="003025BB" w:rsidRDefault="003025BB" w:rsidP="003025BB">
      <w:pPr>
        <w:spacing w:after="0" w:line="360" w:lineRule="auto"/>
        <w:jc w:val="both"/>
        <w:rPr>
          <w:rFonts w:ascii="Bookman Old Style" w:hAnsi="Bookman Old Style"/>
          <w:sz w:val="24"/>
          <w:szCs w:val="24"/>
        </w:rPr>
      </w:pPr>
      <w:r w:rsidRPr="003025BB">
        <w:rPr>
          <w:rFonts w:ascii="Bookman Old Style" w:hAnsi="Bookman Old Style"/>
          <w:i/>
          <w:sz w:val="24"/>
          <w:szCs w:val="24"/>
        </w:rPr>
        <w:tab/>
        <w:t>2 – Essa comissão será composta por membros da Comunidade Educativa da Escola a indicar pelos respetivos representantes na Assembleia de Escola ao Diretor, que os nomeará</w:t>
      </w:r>
      <w:r w:rsidRPr="003025BB">
        <w:rPr>
          <w:rFonts w:ascii="Bookman Old Style" w:hAnsi="Bookman Old Style"/>
          <w:sz w:val="24"/>
          <w:szCs w:val="24"/>
        </w:rPr>
        <w:t>”.</w:t>
      </w:r>
    </w:p>
    <w:p w:rsidR="003025BB" w:rsidRDefault="003025BB" w:rsidP="003025BB">
      <w:pPr>
        <w:spacing w:after="0" w:line="360" w:lineRule="auto"/>
        <w:jc w:val="both"/>
        <w:rPr>
          <w:rFonts w:ascii="Bookman Old Style" w:hAnsi="Bookman Old Style"/>
          <w:i/>
          <w:sz w:val="24"/>
          <w:szCs w:val="24"/>
        </w:rPr>
      </w:pPr>
      <w:r w:rsidRPr="003025BB">
        <w:rPr>
          <w:rFonts w:ascii="Bookman Old Style" w:hAnsi="Bookman Old Style"/>
          <w:sz w:val="24"/>
          <w:szCs w:val="24"/>
        </w:rPr>
        <w:tab/>
        <w:t xml:space="preserve">Na primeira reunião da Assembleia da Escola Secundária da Amadora, os representantes dos docentes, dos auxiliares de ação educativa e dos alunos indicam ao Diretor um membro a integrar a Comissão Especial de Reflexão. Este recusa-se, porém, a nomear o representante dos alunos, por considerar que a matéria em causa não afeta os discentes. BERNARDO SOARES, aluno indicado para a Comissão indigna-se com a decisão, argumentando que se trata de um assunto com impacto em toda a Comunidade Educativa. Argumenta, além disso, que a interpretação da Lei n.º b/2090 não pode deixar de levar em conta o disposto no artigo 77.º/1 da Constituição. </w:t>
      </w:r>
      <w:proofErr w:type="spellStart"/>
      <w:r w:rsidRPr="003025BB">
        <w:rPr>
          <w:rFonts w:ascii="Bookman Old Style" w:hAnsi="Bookman Old Style"/>
          <w:i/>
          <w:sz w:val="24"/>
          <w:szCs w:val="24"/>
        </w:rPr>
        <w:t>Quid</w:t>
      </w:r>
      <w:proofErr w:type="spellEnd"/>
      <w:r w:rsidRPr="003025BB">
        <w:rPr>
          <w:rFonts w:ascii="Bookman Old Style" w:hAnsi="Bookman Old Style"/>
          <w:i/>
          <w:sz w:val="24"/>
          <w:szCs w:val="24"/>
        </w:rPr>
        <w:t xml:space="preserve"> </w:t>
      </w:r>
      <w:proofErr w:type="spellStart"/>
      <w:r w:rsidRPr="003025BB">
        <w:rPr>
          <w:rFonts w:ascii="Bookman Old Style" w:hAnsi="Bookman Old Style"/>
          <w:i/>
          <w:sz w:val="24"/>
          <w:szCs w:val="24"/>
        </w:rPr>
        <w:t>iuris</w:t>
      </w:r>
      <w:proofErr w:type="spellEnd"/>
      <w:r w:rsidRPr="003025BB">
        <w:rPr>
          <w:rFonts w:ascii="Bookman Old Style" w:hAnsi="Bookman Old Style"/>
          <w:i/>
          <w:sz w:val="24"/>
          <w:szCs w:val="24"/>
        </w:rPr>
        <w:t>?</w:t>
      </w:r>
    </w:p>
    <w:p w:rsidR="00122A40" w:rsidRDefault="00122A40" w:rsidP="003025BB">
      <w:pPr>
        <w:spacing w:after="0" w:line="360" w:lineRule="auto"/>
        <w:jc w:val="both"/>
        <w:rPr>
          <w:rFonts w:ascii="Bookman Old Style" w:hAnsi="Bookman Old Style"/>
          <w:i/>
          <w:sz w:val="24"/>
          <w:szCs w:val="24"/>
        </w:rPr>
      </w:pPr>
    </w:p>
    <w:p w:rsidR="00122A40" w:rsidRDefault="00122A40" w:rsidP="00122A40">
      <w:pPr>
        <w:spacing w:after="0" w:line="360" w:lineRule="auto"/>
        <w:jc w:val="center"/>
        <w:rPr>
          <w:rFonts w:ascii="Bookman Old Style" w:hAnsi="Bookman Old Style"/>
          <w:b/>
          <w:sz w:val="24"/>
          <w:szCs w:val="24"/>
        </w:rPr>
      </w:pPr>
      <w:r>
        <w:rPr>
          <w:rFonts w:ascii="Bookman Old Style" w:hAnsi="Bookman Old Style"/>
          <w:b/>
          <w:sz w:val="24"/>
          <w:szCs w:val="24"/>
        </w:rPr>
        <w:t>V</w:t>
      </w:r>
    </w:p>
    <w:p w:rsidR="00122A40" w:rsidRDefault="00122A40" w:rsidP="00122A40">
      <w:pPr>
        <w:spacing w:after="0" w:line="360" w:lineRule="auto"/>
        <w:jc w:val="both"/>
        <w:rPr>
          <w:rFonts w:ascii="Bookman Old Style" w:hAnsi="Bookman Old Style"/>
          <w:sz w:val="24"/>
          <w:szCs w:val="24"/>
        </w:rPr>
      </w:pPr>
      <w:r>
        <w:rPr>
          <w:rFonts w:ascii="Bookman Old Style" w:hAnsi="Bookman Old Style"/>
          <w:sz w:val="24"/>
          <w:szCs w:val="24"/>
        </w:rPr>
        <w:tab/>
        <w:t>Suponha que, nos termos do artigo x da Lei 1/2012, que regula os contratos celebrados à distância por consumidores finais:</w:t>
      </w:r>
    </w:p>
    <w:p w:rsidR="00122A40" w:rsidRDefault="00954E11" w:rsidP="00122A40">
      <w:pPr>
        <w:spacing w:after="0" w:line="360" w:lineRule="auto"/>
        <w:jc w:val="both"/>
        <w:rPr>
          <w:rFonts w:ascii="Bookman Old Style" w:hAnsi="Bookman Old Style"/>
          <w:sz w:val="24"/>
          <w:szCs w:val="24"/>
        </w:rPr>
      </w:pPr>
      <w:r>
        <w:rPr>
          <w:rFonts w:ascii="Bookman Old Style" w:hAnsi="Bookman Old Style"/>
          <w:sz w:val="24"/>
          <w:szCs w:val="24"/>
        </w:rPr>
        <w:tab/>
        <w:t>«</w:t>
      </w:r>
      <w:r w:rsidR="00122A40" w:rsidRPr="00954E11">
        <w:rPr>
          <w:rFonts w:ascii="Bookman Old Style" w:hAnsi="Bookman Old Style"/>
          <w:i/>
          <w:sz w:val="24"/>
          <w:szCs w:val="24"/>
        </w:rPr>
        <w:t xml:space="preserve">O consumidor </w:t>
      </w:r>
      <w:r w:rsidR="008659C2" w:rsidRPr="00954E11">
        <w:rPr>
          <w:rFonts w:ascii="Bookman Old Style" w:hAnsi="Bookman Old Style"/>
          <w:i/>
          <w:sz w:val="24"/>
          <w:szCs w:val="24"/>
        </w:rPr>
        <w:t>que contratou o fornecimento de um produto à distância</w:t>
      </w:r>
      <w:proofErr w:type="gramStart"/>
      <w:r w:rsidR="008659C2" w:rsidRPr="00954E11">
        <w:rPr>
          <w:rFonts w:ascii="Bookman Old Style" w:hAnsi="Bookman Old Style"/>
          <w:i/>
          <w:sz w:val="24"/>
          <w:szCs w:val="24"/>
        </w:rPr>
        <w:t>,</w:t>
      </w:r>
      <w:proofErr w:type="gramEnd"/>
      <w:r w:rsidR="008659C2" w:rsidRPr="00954E11">
        <w:rPr>
          <w:rFonts w:ascii="Bookman Old Style" w:hAnsi="Bookman Old Style"/>
          <w:i/>
          <w:sz w:val="24"/>
          <w:szCs w:val="24"/>
        </w:rPr>
        <w:t xml:space="preserve"> </w:t>
      </w:r>
      <w:r w:rsidR="00122A40" w:rsidRPr="00954E11">
        <w:rPr>
          <w:rFonts w:ascii="Bookman Old Style" w:hAnsi="Bookman Old Style"/>
          <w:i/>
          <w:sz w:val="24"/>
          <w:szCs w:val="24"/>
        </w:rPr>
        <w:t xml:space="preserve">pode </w:t>
      </w:r>
      <w:r w:rsidR="008659C2" w:rsidRPr="00954E11">
        <w:rPr>
          <w:rFonts w:ascii="Bookman Old Style" w:hAnsi="Bookman Old Style"/>
          <w:i/>
          <w:sz w:val="24"/>
          <w:szCs w:val="24"/>
        </w:rPr>
        <w:t>“desistir” do</w:t>
      </w:r>
      <w:r w:rsidR="00122A40" w:rsidRPr="00954E11">
        <w:rPr>
          <w:rFonts w:ascii="Bookman Old Style" w:hAnsi="Bookman Old Style"/>
          <w:i/>
          <w:sz w:val="24"/>
          <w:szCs w:val="24"/>
        </w:rPr>
        <w:t xml:space="preserve"> contrato sem pagamento de indemnização e sem necessitar de indicar qualquer motivo no prazo de 15 dias </w:t>
      </w:r>
      <w:r w:rsidR="008659C2" w:rsidRPr="00954E11">
        <w:rPr>
          <w:rFonts w:ascii="Bookman Old Style" w:hAnsi="Bookman Old Style"/>
          <w:i/>
          <w:sz w:val="24"/>
          <w:szCs w:val="24"/>
        </w:rPr>
        <w:t xml:space="preserve">contados da data da celebração do </w:t>
      </w:r>
      <w:r w:rsidR="004F57C7">
        <w:rPr>
          <w:rFonts w:ascii="Bookman Old Style" w:hAnsi="Bookman Old Style"/>
          <w:i/>
          <w:sz w:val="24"/>
          <w:szCs w:val="24"/>
        </w:rPr>
        <w:t>mesmo</w:t>
      </w:r>
      <w:r w:rsidR="008659C2">
        <w:rPr>
          <w:rFonts w:ascii="Bookman Old Style" w:hAnsi="Bookman Old Style"/>
          <w:sz w:val="24"/>
          <w:szCs w:val="24"/>
        </w:rPr>
        <w:t>».</w:t>
      </w:r>
    </w:p>
    <w:p w:rsidR="00954E11" w:rsidRDefault="00954E11" w:rsidP="00122A40">
      <w:pPr>
        <w:spacing w:after="0" w:line="360" w:lineRule="auto"/>
        <w:jc w:val="both"/>
        <w:rPr>
          <w:rFonts w:ascii="Bookman Old Style" w:hAnsi="Bookman Old Style"/>
          <w:sz w:val="24"/>
          <w:szCs w:val="24"/>
        </w:rPr>
      </w:pPr>
    </w:p>
    <w:p w:rsidR="00966D9F" w:rsidRDefault="00954E11" w:rsidP="00122A40">
      <w:pPr>
        <w:spacing w:after="0" w:line="360" w:lineRule="auto"/>
        <w:jc w:val="both"/>
        <w:rPr>
          <w:rFonts w:ascii="Bookman Old Style" w:hAnsi="Bookman Old Style"/>
          <w:sz w:val="24"/>
          <w:szCs w:val="24"/>
        </w:rPr>
      </w:pPr>
      <w:r>
        <w:rPr>
          <w:rFonts w:ascii="Bookman Old Style" w:hAnsi="Bookman Old Style"/>
          <w:sz w:val="24"/>
          <w:szCs w:val="24"/>
        </w:rPr>
        <w:tab/>
        <w:t>JOANA, pobre octogenária que vive da sua reforma, foi contactada no passado dia 1 de janeiro de 2013 telefonicamente pela sociedade Banguecoque, Lda.</w:t>
      </w:r>
      <w:r w:rsidR="004F57C7">
        <w:rPr>
          <w:rFonts w:ascii="Bookman Old Style" w:hAnsi="Bookman Old Style"/>
          <w:sz w:val="24"/>
          <w:szCs w:val="24"/>
        </w:rPr>
        <w:t>, e aceitou por esse mesmo meio</w:t>
      </w:r>
      <w:r>
        <w:rPr>
          <w:rFonts w:ascii="Bookman Old Style" w:hAnsi="Bookman Old Style"/>
          <w:sz w:val="24"/>
          <w:szCs w:val="24"/>
        </w:rPr>
        <w:t xml:space="preserve"> contratar um </w:t>
      </w:r>
      <w:r>
        <w:rPr>
          <w:rFonts w:ascii="Bookman Old Style" w:hAnsi="Bookman Old Style"/>
          <w:sz w:val="24"/>
          <w:szCs w:val="24"/>
        </w:rPr>
        <w:lastRenderedPageBreak/>
        <w:t xml:space="preserve">serviço semanal de massagens tailandesas com o custo de 1.000 Euros por sessão. Depois de conversar com a filha, apercebeu-se que tinha cometido um erro e decide desistir do negócio. Nesse sentido, manifesta essa mesma intenção à Banguecoque, Lda., no dia 5 de janeiro de 2013 invocando o disposto no artigo x da Lei n.º 1/2012. Chegando à conversa com o gerente, o mesmo </w:t>
      </w:r>
      <w:r w:rsidR="00966D9F">
        <w:rPr>
          <w:rFonts w:ascii="Bookman Old Style" w:hAnsi="Bookman Old Style"/>
          <w:sz w:val="24"/>
          <w:szCs w:val="24"/>
        </w:rPr>
        <w:t>defende</w:t>
      </w:r>
      <w:r>
        <w:rPr>
          <w:rFonts w:ascii="Bookman Old Style" w:hAnsi="Bookman Old Style"/>
          <w:sz w:val="24"/>
          <w:szCs w:val="24"/>
        </w:rPr>
        <w:t xml:space="preserve"> que </w:t>
      </w:r>
      <w:r w:rsidR="00966D9F">
        <w:rPr>
          <w:rFonts w:ascii="Bookman Old Style" w:hAnsi="Bookman Old Style"/>
          <w:sz w:val="24"/>
          <w:szCs w:val="24"/>
        </w:rPr>
        <w:t>tal só será possível se indemnizar a Sociedade dos danos que sofreu com a resolução do contrato, argumentando:</w:t>
      </w:r>
    </w:p>
    <w:p w:rsidR="00966D9F" w:rsidRDefault="00954E11" w:rsidP="00966D9F">
      <w:pPr>
        <w:pStyle w:val="PargrafodaLista"/>
        <w:numPr>
          <w:ilvl w:val="0"/>
          <w:numId w:val="1"/>
        </w:numPr>
        <w:spacing w:after="0" w:line="360" w:lineRule="auto"/>
        <w:jc w:val="both"/>
        <w:rPr>
          <w:rFonts w:ascii="Bookman Old Style" w:hAnsi="Bookman Old Style"/>
          <w:sz w:val="24"/>
          <w:szCs w:val="24"/>
        </w:rPr>
      </w:pPr>
      <w:proofErr w:type="gramStart"/>
      <w:r w:rsidRPr="00966D9F">
        <w:rPr>
          <w:rFonts w:ascii="Bookman Old Style" w:hAnsi="Bookman Old Style"/>
          <w:sz w:val="24"/>
          <w:szCs w:val="24"/>
        </w:rPr>
        <w:t>que</w:t>
      </w:r>
      <w:proofErr w:type="gramEnd"/>
      <w:r w:rsidRPr="00966D9F">
        <w:rPr>
          <w:rFonts w:ascii="Bookman Old Style" w:hAnsi="Bookman Old Style"/>
          <w:sz w:val="24"/>
          <w:szCs w:val="24"/>
        </w:rPr>
        <w:t xml:space="preserve"> as massagens tailandesas são um “serviço”</w:t>
      </w:r>
      <w:r w:rsidR="00966D9F" w:rsidRPr="00966D9F">
        <w:rPr>
          <w:rFonts w:ascii="Bookman Old Style" w:hAnsi="Bookman Old Style"/>
          <w:sz w:val="24"/>
          <w:szCs w:val="24"/>
        </w:rPr>
        <w:t xml:space="preserve"> e não um “produto”, conforme enuncia o artigo x da Lei n.º 1/2012 </w:t>
      </w:r>
    </w:p>
    <w:p w:rsidR="00954E11" w:rsidRPr="00966D9F" w:rsidRDefault="004F57C7" w:rsidP="00966D9F">
      <w:pPr>
        <w:pStyle w:val="PargrafodaLista"/>
        <w:numPr>
          <w:ilvl w:val="0"/>
          <w:numId w:val="1"/>
        </w:numPr>
        <w:spacing w:after="0" w:line="360" w:lineRule="auto"/>
        <w:jc w:val="both"/>
        <w:rPr>
          <w:rFonts w:ascii="Bookman Old Style" w:hAnsi="Bookman Old Style"/>
          <w:sz w:val="24"/>
          <w:szCs w:val="24"/>
        </w:rPr>
      </w:pPr>
      <w:r>
        <w:rPr>
          <w:rFonts w:ascii="Bookman Old Style" w:hAnsi="Bookman Old Style"/>
          <w:sz w:val="24"/>
          <w:szCs w:val="24"/>
        </w:rPr>
        <w:t xml:space="preserve">e que, </w:t>
      </w:r>
      <w:r w:rsidR="00966D9F" w:rsidRPr="00966D9F">
        <w:rPr>
          <w:rFonts w:ascii="Bookman Old Style" w:hAnsi="Bookman Old Style"/>
          <w:sz w:val="24"/>
          <w:szCs w:val="24"/>
        </w:rPr>
        <w:t>em caso de dúvida, aquele normativo sempre deveria interpretar-se em face do artigo y da Lei 2/2010, que regula os contratos celebra</w:t>
      </w:r>
      <w:r w:rsidR="00966D9F">
        <w:rPr>
          <w:rFonts w:ascii="Bookman Old Style" w:hAnsi="Bookman Old Style"/>
          <w:sz w:val="24"/>
          <w:szCs w:val="24"/>
        </w:rPr>
        <w:t>dos à distância entre empresas,</w:t>
      </w:r>
      <w:r w:rsidR="00966D9F" w:rsidRPr="00966D9F">
        <w:rPr>
          <w:rFonts w:ascii="Bookman Old Style" w:hAnsi="Bookman Old Style"/>
          <w:sz w:val="24"/>
          <w:szCs w:val="24"/>
        </w:rPr>
        <w:t xml:space="preserve"> nos termos do qual: “</w:t>
      </w:r>
      <w:r w:rsidR="00966D9F" w:rsidRPr="00966D9F">
        <w:rPr>
          <w:rFonts w:ascii="Bookman Old Style" w:hAnsi="Bookman Old Style"/>
          <w:i/>
          <w:sz w:val="24"/>
          <w:szCs w:val="24"/>
        </w:rPr>
        <w:t xml:space="preserve">A empresa que adquira o bem ou subscreva o serviço pode revogar a sua declaração negocial antes </w:t>
      </w:r>
      <w:r w:rsidR="00966D9F">
        <w:rPr>
          <w:rFonts w:ascii="Bookman Old Style" w:hAnsi="Bookman Old Style"/>
          <w:i/>
          <w:sz w:val="24"/>
          <w:szCs w:val="24"/>
        </w:rPr>
        <w:t>de esta</w:t>
      </w:r>
      <w:r w:rsidR="00966D9F" w:rsidRPr="00966D9F">
        <w:rPr>
          <w:rFonts w:ascii="Bookman Old Style" w:hAnsi="Bookman Old Style"/>
          <w:i/>
          <w:sz w:val="24"/>
          <w:szCs w:val="24"/>
        </w:rPr>
        <w:t xml:space="preserve"> ser conhecida da contraparte; depois deste momento, só poderá desistir do negócio indemnizando</w:t>
      </w:r>
      <w:r w:rsidR="00966D9F">
        <w:rPr>
          <w:rFonts w:ascii="Bookman Old Style" w:hAnsi="Bookman Old Style"/>
          <w:i/>
          <w:sz w:val="24"/>
          <w:szCs w:val="24"/>
        </w:rPr>
        <w:t xml:space="preserve"> os</w:t>
      </w:r>
      <w:r w:rsidR="00966D9F" w:rsidRPr="00966D9F">
        <w:rPr>
          <w:rFonts w:ascii="Bookman Old Style" w:hAnsi="Bookman Old Style"/>
          <w:i/>
          <w:sz w:val="24"/>
          <w:szCs w:val="24"/>
        </w:rPr>
        <w:t xml:space="preserve"> danos causados</w:t>
      </w:r>
      <w:r w:rsidR="00966D9F" w:rsidRPr="00966D9F">
        <w:rPr>
          <w:rFonts w:ascii="Bookman Old Style" w:hAnsi="Bookman Old Style"/>
          <w:sz w:val="24"/>
          <w:szCs w:val="24"/>
        </w:rPr>
        <w:t>”.</w:t>
      </w:r>
    </w:p>
    <w:p w:rsidR="008659C2" w:rsidRDefault="008659C2" w:rsidP="003025BB">
      <w:pPr>
        <w:spacing w:after="0" w:line="360" w:lineRule="auto"/>
        <w:rPr>
          <w:rStyle w:val="Forte"/>
          <w:rFonts w:ascii="Arial" w:hAnsi="Arial" w:cs="Arial"/>
          <w:color w:val="444444"/>
          <w:sz w:val="20"/>
          <w:szCs w:val="20"/>
        </w:rPr>
      </w:pPr>
    </w:p>
    <w:p w:rsidR="00122A40" w:rsidRDefault="00122A40"/>
    <w:sectPr w:rsidR="00122A40" w:rsidSect="00FB45AF">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AB9" w:rsidRDefault="00FC0AB9" w:rsidP="003025BB">
      <w:pPr>
        <w:spacing w:after="0" w:line="240" w:lineRule="auto"/>
      </w:pPr>
      <w:r>
        <w:separator/>
      </w:r>
    </w:p>
  </w:endnote>
  <w:endnote w:type="continuationSeparator" w:id="0">
    <w:p w:rsidR="00FC0AB9" w:rsidRDefault="00FC0AB9" w:rsidP="003025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AB9" w:rsidRDefault="00FC0AB9" w:rsidP="003025BB">
      <w:pPr>
        <w:spacing w:after="0" w:line="240" w:lineRule="auto"/>
      </w:pPr>
      <w:r>
        <w:separator/>
      </w:r>
    </w:p>
  </w:footnote>
  <w:footnote w:type="continuationSeparator" w:id="0">
    <w:p w:rsidR="00FC0AB9" w:rsidRDefault="00FC0AB9" w:rsidP="003025BB">
      <w:pPr>
        <w:spacing w:after="0" w:line="240" w:lineRule="auto"/>
      </w:pPr>
      <w:r>
        <w:continuationSeparator/>
      </w:r>
    </w:p>
  </w:footnote>
  <w:footnote w:id="1">
    <w:p w:rsidR="003025BB" w:rsidRDefault="003025BB" w:rsidP="003025BB">
      <w:pPr>
        <w:pStyle w:val="Textodenotaderodap"/>
        <w:ind w:firstLine="708"/>
        <w:jc w:val="both"/>
      </w:pPr>
      <w:r w:rsidRPr="00022F17">
        <w:rPr>
          <w:rStyle w:val="Refdenotaderodap"/>
          <w:rFonts w:ascii="Bookman Old Style" w:hAnsi="Bookman Old Style"/>
        </w:rPr>
        <w:footnoteRef/>
      </w:r>
      <w:r w:rsidRPr="00022F17">
        <w:rPr>
          <w:rFonts w:ascii="Bookman Old Style" w:hAnsi="Bookman Old Style"/>
        </w:rPr>
        <w:t xml:space="preserve"> Estas disposições são fictícias mais inspiram-se nos artigos 237.º e seguintes do Código do Trabalho Português. Na resolução da hipótese o aluno deverá, no entanto, atender apenas aos dados que são fornecidos</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4A9" w:rsidRPr="00BA4F37" w:rsidRDefault="000314A9" w:rsidP="000314A9">
    <w:pPr>
      <w:pStyle w:val="Cabealho"/>
      <w:pBdr>
        <w:bottom w:val="single" w:sz="4" w:space="1" w:color="auto"/>
      </w:pBdr>
      <w:jc w:val="center"/>
      <w:rPr>
        <w:rFonts w:ascii="Bookman Old Style" w:hAnsi="Bookman Old Style"/>
        <w:i/>
      </w:rPr>
    </w:pPr>
    <w:r>
      <w:rPr>
        <w:rFonts w:ascii="Bookman Old Style" w:hAnsi="Bookman Old Style"/>
        <w:i/>
      </w:rPr>
      <w:t>Casos Práticos de Introdução ao Estudo do Direito – 2011/2012</w:t>
    </w:r>
  </w:p>
  <w:p w:rsidR="000314A9" w:rsidRDefault="000314A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F6991"/>
    <w:multiLevelType w:val="hybridMultilevel"/>
    <w:tmpl w:val="814220E6"/>
    <w:lvl w:ilvl="0" w:tplc="08160001">
      <w:start w:val="1"/>
      <w:numFmt w:val="bullet"/>
      <w:lvlText w:val=""/>
      <w:lvlJc w:val="left"/>
      <w:pPr>
        <w:ind w:left="795" w:hanging="360"/>
      </w:pPr>
      <w:rPr>
        <w:rFonts w:ascii="Symbol" w:hAnsi="Symbol" w:hint="default"/>
      </w:rPr>
    </w:lvl>
    <w:lvl w:ilvl="1" w:tplc="08160003" w:tentative="1">
      <w:start w:val="1"/>
      <w:numFmt w:val="bullet"/>
      <w:lvlText w:val="o"/>
      <w:lvlJc w:val="left"/>
      <w:pPr>
        <w:ind w:left="1515" w:hanging="360"/>
      </w:pPr>
      <w:rPr>
        <w:rFonts w:ascii="Courier New" w:hAnsi="Courier New" w:cs="Courier New" w:hint="default"/>
      </w:rPr>
    </w:lvl>
    <w:lvl w:ilvl="2" w:tplc="08160005" w:tentative="1">
      <w:start w:val="1"/>
      <w:numFmt w:val="bullet"/>
      <w:lvlText w:val=""/>
      <w:lvlJc w:val="left"/>
      <w:pPr>
        <w:ind w:left="2235" w:hanging="360"/>
      </w:pPr>
      <w:rPr>
        <w:rFonts w:ascii="Wingdings" w:hAnsi="Wingdings" w:hint="default"/>
      </w:rPr>
    </w:lvl>
    <w:lvl w:ilvl="3" w:tplc="08160001" w:tentative="1">
      <w:start w:val="1"/>
      <w:numFmt w:val="bullet"/>
      <w:lvlText w:val=""/>
      <w:lvlJc w:val="left"/>
      <w:pPr>
        <w:ind w:left="2955" w:hanging="360"/>
      </w:pPr>
      <w:rPr>
        <w:rFonts w:ascii="Symbol" w:hAnsi="Symbol" w:hint="default"/>
      </w:rPr>
    </w:lvl>
    <w:lvl w:ilvl="4" w:tplc="08160003" w:tentative="1">
      <w:start w:val="1"/>
      <w:numFmt w:val="bullet"/>
      <w:lvlText w:val="o"/>
      <w:lvlJc w:val="left"/>
      <w:pPr>
        <w:ind w:left="3675" w:hanging="360"/>
      </w:pPr>
      <w:rPr>
        <w:rFonts w:ascii="Courier New" w:hAnsi="Courier New" w:cs="Courier New" w:hint="default"/>
      </w:rPr>
    </w:lvl>
    <w:lvl w:ilvl="5" w:tplc="08160005" w:tentative="1">
      <w:start w:val="1"/>
      <w:numFmt w:val="bullet"/>
      <w:lvlText w:val=""/>
      <w:lvlJc w:val="left"/>
      <w:pPr>
        <w:ind w:left="4395" w:hanging="360"/>
      </w:pPr>
      <w:rPr>
        <w:rFonts w:ascii="Wingdings" w:hAnsi="Wingdings" w:hint="default"/>
      </w:rPr>
    </w:lvl>
    <w:lvl w:ilvl="6" w:tplc="08160001" w:tentative="1">
      <w:start w:val="1"/>
      <w:numFmt w:val="bullet"/>
      <w:lvlText w:val=""/>
      <w:lvlJc w:val="left"/>
      <w:pPr>
        <w:ind w:left="5115" w:hanging="360"/>
      </w:pPr>
      <w:rPr>
        <w:rFonts w:ascii="Symbol" w:hAnsi="Symbol" w:hint="default"/>
      </w:rPr>
    </w:lvl>
    <w:lvl w:ilvl="7" w:tplc="08160003" w:tentative="1">
      <w:start w:val="1"/>
      <w:numFmt w:val="bullet"/>
      <w:lvlText w:val="o"/>
      <w:lvlJc w:val="left"/>
      <w:pPr>
        <w:ind w:left="5835" w:hanging="360"/>
      </w:pPr>
      <w:rPr>
        <w:rFonts w:ascii="Courier New" w:hAnsi="Courier New" w:cs="Courier New" w:hint="default"/>
      </w:rPr>
    </w:lvl>
    <w:lvl w:ilvl="8" w:tplc="0816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025BB"/>
    <w:rsid w:val="000314A9"/>
    <w:rsid w:val="000C3185"/>
    <w:rsid w:val="00122A40"/>
    <w:rsid w:val="00200950"/>
    <w:rsid w:val="003025BB"/>
    <w:rsid w:val="00470D73"/>
    <w:rsid w:val="004F57C7"/>
    <w:rsid w:val="00642739"/>
    <w:rsid w:val="00822A78"/>
    <w:rsid w:val="008659C2"/>
    <w:rsid w:val="008E5731"/>
    <w:rsid w:val="00954E11"/>
    <w:rsid w:val="00966D9F"/>
    <w:rsid w:val="009E4103"/>
    <w:rsid w:val="00F534FF"/>
    <w:rsid w:val="00FB45AF"/>
    <w:rsid w:val="00FC0AB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mallCaps/>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5BB"/>
    <w:rPr>
      <w:rFonts w:asciiTheme="minorHAnsi" w:eastAsiaTheme="minorEastAsia" w:hAnsiTheme="minorHAnsi" w:cstheme="minorBidi"/>
      <w:smallCaps w:val="0"/>
      <w:sz w:val="22"/>
      <w:szCs w:val="22"/>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025BB"/>
    <w:pPr>
      <w:ind w:left="720"/>
      <w:contextualSpacing/>
    </w:pPr>
  </w:style>
  <w:style w:type="paragraph" w:styleId="Textodenotaderodap">
    <w:name w:val="footnote text"/>
    <w:basedOn w:val="Normal"/>
    <w:link w:val="TextodenotaderodapCarcter"/>
    <w:uiPriority w:val="99"/>
    <w:semiHidden/>
    <w:unhideWhenUsed/>
    <w:rsid w:val="003025BB"/>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3025BB"/>
    <w:rPr>
      <w:rFonts w:asciiTheme="minorHAnsi" w:eastAsiaTheme="minorEastAsia" w:hAnsiTheme="minorHAnsi" w:cstheme="minorBidi"/>
      <w:smallCaps w:val="0"/>
      <w:lang w:eastAsia="pt-PT"/>
    </w:rPr>
  </w:style>
  <w:style w:type="character" w:styleId="Refdenotaderodap">
    <w:name w:val="footnote reference"/>
    <w:basedOn w:val="Tipodeletrapredefinidodopargrafo"/>
    <w:uiPriority w:val="99"/>
    <w:semiHidden/>
    <w:unhideWhenUsed/>
    <w:rsid w:val="003025BB"/>
    <w:rPr>
      <w:vertAlign w:val="superscript"/>
    </w:rPr>
  </w:style>
  <w:style w:type="paragraph" w:styleId="Cabealho">
    <w:name w:val="header"/>
    <w:basedOn w:val="Normal"/>
    <w:link w:val="CabealhoCarcter"/>
    <w:uiPriority w:val="99"/>
    <w:semiHidden/>
    <w:unhideWhenUsed/>
    <w:rsid w:val="000314A9"/>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0314A9"/>
    <w:rPr>
      <w:rFonts w:asciiTheme="minorHAnsi" w:eastAsiaTheme="minorEastAsia" w:hAnsiTheme="minorHAnsi" w:cstheme="minorBidi"/>
      <w:smallCaps w:val="0"/>
      <w:sz w:val="22"/>
      <w:szCs w:val="22"/>
      <w:lang w:eastAsia="pt-PT"/>
    </w:rPr>
  </w:style>
  <w:style w:type="paragraph" w:styleId="Rodap">
    <w:name w:val="footer"/>
    <w:basedOn w:val="Normal"/>
    <w:link w:val="RodapCarcter"/>
    <w:uiPriority w:val="99"/>
    <w:semiHidden/>
    <w:unhideWhenUsed/>
    <w:rsid w:val="000314A9"/>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0314A9"/>
    <w:rPr>
      <w:rFonts w:asciiTheme="minorHAnsi" w:eastAsiaTheme="minorEastAsia" w:hAnsiTheme="minorHAnsi" w:cstheme="minorBidi"/>
      <w:smallCaps w:val="0"/>
      <w:sz w:val="22"/>
      <w:szCs w:val="22"/>
      <w:lang w:eastAsia="pt-PT"/>
    </w:rPr>
  </w:style>
  <w:style w:type="character" w:styleId="Forte">
    <w:name w:val="Strong"/>
    <w:basedOn w:val="Tipodeletrapredefinidodopargrafo"/>
    <w:uiPriority w:val="22"/>
    <w:qFormat/>
    <w:rsid w:val="008659C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1114</Words>
  <Characters>6016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Utilizador</cp:lastModifiedBy>
  <cp:revision>8</cp:revision>
  <dcterms:created xsi:type="dcterms:W3CDTF">2013-04-22T21:37:00Z</dcterms:created>
  <dcterms:modified xsi:type="dcterms:W3CDTF">2013-04-25T13:04:00Z</dcterms:modified>
</cp:coreProperties>
</file>