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ED" w:rsidRPr="004D6790" w:rsidRDefault="004D6790" w:rsidP="004D679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CASO PRÁTICO – LEI INTERPRETATIVA</w:t>
      </w:r>
    </w:p>
    <w:p w:rsidR="004D6790" w:rsidRDefault="004D6790" w:rsidP="003C3669">
      <w:pPr>
        <w:jc w:val="both"/>
        <w:rPr>
          <w:rFonts w:ascii="Bookman Old Style" w:hAnsi="Bookman Old Style"/>
          <w:sz w:val="24"/>
          <w:szCs w:val="24"/>
        </w:rPr>
      </w:pPr>
    </w:p>
    <w:p w:rsidR="003C3669" w:rsidRDefault="003C3669" w:rsidP="004D679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Nos termos do artigo 1.º da Lei n.º x/2009:</w:t>
      </w:r>
    </w:p>
    <w:p w:rsidR="003C3669" w:rsidRPr="003C3669" w:rsidRDefault="003C3669" w:rsidP="004D6790">
      <w:pPr>
        <w:spacing w:after="0" w:line="360" w:lineRule="auto"/>
        <w:ind w:firstLine="70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“1 – </w:t>
      </w:r>
      <w:r w:rsidRPr="003C3669">
        <w:rPr>
          <w:rFonts w:ascii="Bookman Old Style" w:hAnsi="Bookman Old Style"/>
          <w:i/>
          <w:sz w:val="24"/>
          <w:szCs w:val="24"/>
        </w:rPr>
        <w:t>O presidente de câmara municipal e</w:t>
      </w:r>
      <w:r w:rsidR="00A14A44">
        <w:rPr>
          <w:rFonts w:ascii="Bookman Old Style" w:hAnsi="Bookman Old Style"/>
          <w:i/>
          <w:sz w:val="24"/>
          <w:szCs w:val="24"/>
        </w:rPr>
        <w:t xml:space="preserve">stá </w:t>
      </w:r>
      <w:r w:rsidR="00280D43">
        <w:rPr>
          <w:rFonts w:ascii="Bookman Old Style" w:hAnsi="Bookman Old Style"/>
          <w:i/>
          <w:sz w:val="24"/>
          <w:szCs w:val="24"/>
        </w:rPr>
        <w:t xml:space="preserve">proibido de se candidatar a um quarto mandato </w:t>
      </w:r>
      <w:r w:rsidR="0042737C">
        <w:rPr>
          <w:rFonts w:ascii="Bookman Old Style" w:hAnsi="Bookman Old Style"/>
          <w:i/>
          <w:sz w:val="24"/>
          <w:szCs w:val="24"/>
        </w:rPr>
        <w:t>consecutivo</w:t>
      </w:r>
      <w:r w:rsidR="00280D43">
        <w:rPr>
          <w:rFonts w:ascii="Bookman Old Style" w:hAnsi="Bookman Old Style"/>
          <w:i/>
          <w:sz w:val="24"/>
          <w:szCs w:val="24"/>
        </w:rPr>
        <w:t>.</w:t>
      </w:r>
    </w:p>
    <w:p w:rsidR="003C3669" w:rsidRDefault="003C3669" w:rsidP="004D679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C3669">
        <w:rPr>
          <w:rFonts w:ascii="Bookman Old Style" w:hAnsi="Bookman Old Style"/>
          <w:i/>
          <w:sz w:val="24"/>
          <w:szCs w:val="24"/>
        </w:rPr>
        <w:t>2 – Esta lei aplica-se imediatamente, sendo computáveis para efeitos do n.º1, o mandato que o presidente de câmara esteja a cumprir e todos os que já haja cumprido consecutivamente</w:t>
      </w:r>
      <w:r>
        <w:rPr>
          <w:rFonts w:ascii="Bookman Old Style" w:hAnsi="Bookman Old Style"/>
          <w:sz w:val="24"/>
          <w:szCs w:val="24"/>
        </w:rPr>
        <w:t>”.</w:t>
      </w:r>
    </w:p>
    <w:p w:rsidR="00280D43" w:rsidRDefault="00280D43" w:rsidP="00280D4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C3669" w:rsidRDefault="003C3669" w:rsidP="003C366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 aplicação desta lei veio gerar grandes dúvidas, discutindo-se se </w:t>
      </w:r>
      <w:r w:rsidR="0042737C">
        <w:rPr>
          <w:rFonts w:ascii="Bookman Old Style" w:hAnsi="Bookman Old Style"/>
          <w:sz w:val="24"/>
          <w:szCs w:val="24"/>
        </w:rPr>
        <w:t xml:space="preserve">a proibição </w:t>
      </w:r>
      <w:r>
        <w:rPr>
          <w:rFonts w:ascii="Bookman Old Style" w:hAnsi="Bookman Old Style"/>
          <w:sz w:val="24"/>
          <w:szCs w:val="24"/>
        </w:rPr>
        <w:t xml:space="preserve">se aplica apenas à câmara onde o presidente tenha exercido funções ou, pelo contrário, o impede de se recandidatar a qualquer outra. </w:t>
      </w:r>
    </w:p>
    <w:p w:rsidR="003C3669" w:rsidRDefault="003C3669" w:rsidP="003C366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Com o </w:t>
      </w:r>
      <w:proofErr w:type="spellStart"/>
      <w:r>
        <w:rPr>
          <w:rFonts w:ascii="Bookman Old Style" w:hAnsi="Bookman Old Style"/>
          <w:sz w:val="24"/>
          <w:szCs w:val="24"/>
        </w:rPr>
        <w:t>objetivo</w:t>
      </w:r>
      <w:proofErr w:type="spellEnd"/>
      <w:r>
        <w:rPr>
          <w:rFonts w:ascii="Bookman Old Style" w:hAnsi="Bookman Old Style"/>
          <w:sz w:val="24"/>
          <w:szCs w:val="24"/>
        </w:rPr>
        <w:t xml:space="preserve"> de esclarecer a situação, a 2 de </w:t>
      </w:r>
      <w:proofErr w:type="spellStart"/>
      <w:r w:rsidR="00FA31C1">
        <w:rPr>
          <w:rFonts w:ascii="Bookman Old Style" w:hAnsi="Bookman Old Style"/>
          <w:sz w:val="24"/>
          <w:szCs w:val="24"/>
        </w:rPr>
        <w:t>s</w:t>
      </w:r>
      <w:r w:rsidR="0026681A">
        <w:rPr>
          <w:rFonts w:ascii="Bookman Old Style" w:hAnsi="Bookman Old Style"/>
          <w:sz w:val="24"/>
          <w:szCs w:val="24"/>
        </w:rPr>
        <w:t>etembro</w:t>
      </w:r>
      <w:proofErr w:type="spellEnd"/>
      <w:r w:rsidR="0026681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 2013 foi aprovado o Decreto-Lei n.º y/2013, que entrou em vigor no próprio dia da publicação, em cujo artigo único se dispunha o seguinte:</w:t>
      </w:r>
    </w:p>
    <w:p w:rsidR="003C3669" w:rsidRPr="00D8533E" w:rsidRDefault="003C3669" w:rsidP="00280D43">
      <w:p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 </w:t>
      </w:r>
      <w:r w:rsidRPr="00D8533E">
        <w:rPr>
          <w:rFonts w:ascii="Bookman Old Style" w:hAnsi="Bookman Old Style"/>
          <w:i/>
          <w:sz w:val="24"/>
          <w:szCs w:val="24"/>
        </w:rPr>
        <w:t>1 – Para efeitos do disposto no artigo 1.º da Lei n.º x/2009:</w:t>
      </w:r>
    </w:p>
    <w:p w:rsidR="00280D43" w:rsidRPr="00D8533E" w:rsidRDefault="00280D43" w:rsidP="00280D4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8533E">
        <w:rPr>
          <w:rFonts w:ascii="Bookman Old Style" w:hAnsi="Bookman Old Style"/>
          <w:i/>
          <w:sz w:val="24"/>
          <w:szCs w:val="24"/>
        </w:rPr>
        <w:t>Deve entender-se a proibição contida no 1 do artigo 1.º apenas se aplica à câmara municipal em que o presidente exerceu funções;</w:t>
      </w:r>
    </w:p>
    <w:p w:rsidR="00280D43" w:rsidRPr="00D8533E" w:rsidRDefault="00280D43" w:rsidP="00280D4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8533E">
        <w:rPr>
          <w:rFonts w:ascii="Bookman Old Style" w:hAnsi="Bookman Old Style"/>
          <w:i/>
          <w:sz w:val="24"/>
          <w:szCs w:val="24"/>
        </w:rPr>
        <w:t xml:space="preserve">Por câmara municipal, deve entender-se igualmente </w:t>
      </w:r>
      <w:r w:rsidR="00563372">
        <w:rPr>
          <w:rFonts w:ascii="Bookman Old Style" w:hAnsi="Bookman Old Style"/>
          <w:i/>
          <w:sz w:val="24"/>
          <w:szCs w:val="24"/>
        </w:rPr>
        <w:t>junta de fregu</w:t>
      </w:r>
      <w:r w:rsidR="00F923C8">
        <w:rPr>
          <w:rFonts w:ascii="Bookman Old Style" w:hAnsi="Bookman Old Style"/>
          <w:i/>
          <w:sz w:val="24"/>
          <w:szCs w:val="24"/>
        </w:rPr>
        <w:t>e</w:t>
      </w:r>
      <w:r w:rsidR="00563372">
        <w:rPr>
          <w:rFonts w:ascii="Bookman Old Style" w:hAnsi="Bookman Old Style"/>
          <w:i/>
          <w:sz w:val="24"/>
          <w:szCs w:val="24"/>
        </w:rPr>
        <w:t>sia</w:t>
      </w:r>
      <w:r w:rsidRPr="00D8533E">
        <w:rPr>
          <w:rFonts w:ascii="Bookman Old Style" w:hAnsi="Bookman Old Style"/>
          <w:i/>
          <w:sz w:val="24"/>
          <w:szCs w:val="24"/>
        </w:rPr>
        <w:t>.</w:t>
      </w:r>
    </w:p>
    <w:p w:rsidR="00280D43" w:rsidRPr="00280D43" w:rsidRDefault="00280D43" w:rsidP="00280D4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8533E">
        <w:rPr>
          <w:rFonts w:ascii="Bookman Old Style" w:hAnsi="Bookman Old Style"/>
          <w:i/>
          <w:sz w:val="24"/>
          <w:szCs w:val="24"/>
        </w:rPr>
        <w:t xml:space="preserve">2 – </w:t>
      </w:r>
      <w:r w:rsidR="00D8533E" w:rsidRPr="00D8533E">
        <w:rPr>
          <w:rFonts w:ascii="Bookman Old Style" w:hAnsi="Bookman Old Style"/>
          <w:i/>
          <w:sz w:val="24"/>
          <w:szCs w:val="24"/>
        </w:rPr>
        <w:t>O presente diploma tem carácter interpretativo</w:t>
      </w:r>
      <w:r w:rsidR="00D8533E">
        <w:rPr>
          <w:rFonts w:ascii="Bookman Old Style" w:hAnsi="Bookman Old Style"/>
          <w:sz w:val="24"/>
          <w:szCs w:val="24"/>
        </w:rPr>
        <w:t>”.</w:t>
      </w:r>
    </w:p>
    <w:p w:rsidR="003C3669" w:rsidRDefault="003C3669" w:rsidP="002668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82B15" w:rsidRDefault="0026681A" w:rsidP="004A524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A5242">
        <w:rPr>
          <w:rFonts w:ascii="Bookman Old Style" w:hAnsi="Bookman Old Style"/>
          <w:b/>
          <w:sz w:val="24"/>
          <w:szCs w:val="24"/>
        </w:rPr>
        <w:t>1</w:t>
      </w:r>
      <w:r w:rsidR="00AE3149" w:rsidRPr="004A5242">
        <w:rPr>
          <w:rFonts w:ascii="Bookman Old Style" w:hAnsi="Bookman Old Style"/>
          <w:b/>
          <w:sz w:val="24"/>
          <w:szCs w:val="24"/>
        </w:rPr>
        <w:t xml:space="preserve"> –</w:t>
      </w:r>
      <w:r w:rsidR="00AE31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EZEQUIEL VALADAS, histórico autarca de Vila Nova da </w:t>
      </w:r>
      <w:proofErr w:type="spellStart"/>
      <w:r>
        <w:rPr>
          <w:rFonts w:ascii="Bookman Old Style" w:hAnsi="Bookman Old Style"/>
          <w:sz w:val="24"/>
          <w:szCs w:val="24"/>
        </w:rPr>
        <w:t>Sanforna</w:t>
      </w:r>
      <w:proofErr w:type="spellEnd"/>
      <w:r>
        <w:rPr>
          <w:rFonts w:ascii="Bookman Old Style" w:hAnsi="Bookman Old Style"/>
          <w:sz w:val="24"/>
          <w:szCs w:val="24"/>
        </w:rPr>
        <w:t xml:space="preserve">, de cuja câmara municipal é presidente há mais de 30 anos, </w:t>
      </w:r>
      <w:proofErr w:type="spellStart"/>
      <w:r>
        <w:rPr>
          <w:rFonts w:ascii="Bookman Old Style" w:hAnsi="Bookman Old Style"/>
          <w:sz w:val="24"/>
          <w:szCs w:val="24"/>
        </w:rPr>
        <w:t>afetado</w:t>
      </w:r>
      <w:proofErr w:type="spellEnd"/>
      <w:r>
        <w:rPr>
          <w:rFonts w:ascii="Bookman Old Style" w:hAnsi="Bookman Old Style"/>
          <w:sz w:val="24"/>
          <w:szCs w:val="24"/>
        </w:rPr>
        <w:t xml:space="preserve"> pela limitação de mandatos, não pode mais candidatar-se a essas funções no seu município. Contudo, candidatou-se no município vizinho, Alheiras Maiores, vindo a sua candidatura a ser recusada pelo tribunal, que entende que a proibição contida na Lei n.º x/2009 se reporta a qualquer câmara municipal. </w:t>
      </w:r>
      <w:r w:rsidR="00D82B15">
        <w:rPr>
          <w:rFonts w:ascii="Bookman Old Style" w:hAnsi="Bookman Old Style"/>
          <w:sz w:val="24"/>
          <w:szCs w:val="24"/>
        </w:rPr>
        <w:t>In</w:t>
      </w:r>
      <w:r w:rsidR="00A94D0B">
        <w:rPr>
          <w:rFonts w:ascii="Bookman Old Style" w:hAnsi="Bookman Old Style"/>
          <w:sz w:val="24"/>
          <w:szCs w:val="24"/>
        </w:rPr>
        <w:t>conformado</w:t>
      </w:r>
      <w:r w:rsidR="00D82B15">
        <w:rPr>
          <w:rFonts w:ascii="Bookman Old Style" w:hAnsi="Bookman Old Style"/>
          <w:sz w:val="24"/>
          <w:szCs w:val="24"/>
        </w:rPr>
        <w:t xml:space="preserve"> com a decisão, EZEQUIEL </w:t>
      </w:r>
      <w:r w:rsidR="00125B20">
        <w:rPr>
          <w:rFonts w:ascii="Bookman Old Style" w:hAnsi="Bookman Old Style"/>
          <w:sz w:val="24"/>
          <w:szCs w:val="24"/>
        </w:rPr>
        <w:t xml:space="preserve">VALADAS interpôs recurso tendo a última decisão judicial </w:t>
      </w:r>
      <w:r w:rsidR="00125B20">
        <w:rPr>
          <w:rFonts w:ascii="Bookman Old Style" w:hAnsi="Bookman Old Style"/>
          <w:sz w:val="24"/>
          <w:szCs w:val="24"/>
        </w:rPr>
        <w:lastRenderedPageBreak/>
        <w:t xml:space="preserve">proferida no âmbito do processo transitado em julgado a 1 de </w:t>
      </w:r>
      <w:proofErr w:type="spellStart"/>
      <w:r w:rsidR="00125B20">
        <w:rPr>
          <w:rFonts w:ascii="Bookman Old Style" w:hAnsi="Bookman Old Style"/>
          <w:sz w:val="24"/>
          <w:szCs w:val="24"/>
        </w:rPr>
        <w:t>setembro</w:t>
      </w:r>
      <w:proofErr w:type="spellEnd"/>
      <w:r w:rsidR="00125B20">
        <w:rPr>
          <w:rFonts w:ascii="Bookman Old Style" w:hAnsi="Bookman Old Style"/>
          <w:sz w:val="24"/>
          <w:szCs w:val="24"/>
        </w:rPr>
        <w:t xml:space="preserve"> de 2013. Poderá o Senhor EZEQUIEL candidatar-se?</w:t>
      </w:r>
    </w:p>
    <w:p w:rsidR="00FA31C1" w:rsidRPr="00F16259" w:rsidRDefault="00FA31C1" w:rsidP="00FA31C1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F16259">
        <w:rPr>
          <w:rFonts w:ascii="Bookman Old Style" w:hAnsi="Bookman Old Style"/>
          <w:color w:val="FF0000"/>
          <w:sz w:val="24"/>
          <w:szCs w:val="24"/>
        </w:rPr>
        <w:t xml:space="preserve">A questão coloca o problema de saber de a alínea a) do n.º 1 do artigo único do DL y/2013 é ou não uma disposição interpretativa do artigo 1.º da Lei x/2009 e, se sim, </w:t>
      </w:r>
      <w:r w:rsidR="005C7B20" w:rsidRPr="00F16259">
        <w:rPr>
          <w:rFonts w:ascii="Bookman Old Style" w:hAnsi="Bookman Old Style"/>
          <w:color w:val="FF0000"/>
          <w:sz w:val="24"/>
          <w:szCs w:val="24"/>
        </w:rPr>
        <w:t>como tratar a sentença passado em julgado que decidiu o caso de E.</w:t>
      </w:r>
    </w:p>
    <w:p w:rsidR="00FA31C1" w:rsidRPr="00F16259" w:rsidRDefault="00FA31C1" w:rsidP="00FA31C1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F16259">
        <w:rPr>
          <w:rFonts w:ascii="Bookman Old Style" w:hAnsi="Bookman Old Style"/>
          <w:color w:val="FF0000"/>
          <w:sz w:val="24"/>
          <w:szCs w:val="24"/>
        </w:rPr>
        <w:tab/>
      </w:r>
      <w:r w:rsidR="00F16259">
        <w:rPr>
          <w:rFonts w:ascii="Bookman Old Style" w:hAnsi="Bookman Old Style"/>
          <w:color w:val="FF0000"/>
          <w:sz w:val="24"/>
          <w:szCs w:val="24"/>
        </w:rPr>
        <w:t xml:space="preserve">Assim, primeiramente </w:t>
      </w:r>
      <w:proofErr w:type="gramStart"/>
      <w:r w:rsidR="00F16259">
        <w:rPr>
          <w:rFonts w:ascii="Bookman Old Style" w:hAnsi="Bookman Old Style"/>
          <w:color w:val="FF0000"/>
          <w:sz w:val="24"/>
          <w:szCs w:val="24"/>
        </w:rPr>
        <w:t>devemos</w:t>
      </w:r>
      <w:proofErr w:type="gramEnd"/>
      <w:r w:rsidRPr="00F16259">
        <w:rPr>
          <w:rFonts w:ascii="Bookman Old Style" w:hAnsi="Bookman Old Style"/>
          <w:color w:val="FF0000"/>
          <w:sz w:val="24"/>
          <w:szCs w:val="24"/>
        </w:rPr>
        <w:t xml:space="preserve"> verificar se estão </w:t>
      </w:r>
      <w:r w:rsidR="00F16259">
        <w:rPr>
          <w:rFonts w:ascii="Bookman Old Style" w:hAnsi="Bookman Old Style"/>
          <w:color w:val="FF0000"/>
          <w:sz w:val="24"/>
          <w:szCs w:val="24"/>
        </w:rPr>
        <w:t xml:space="preserve">ou não </w:t>
      </w:r>
      <w:r w:rsidRPr="00F16259">
        <w:rPr>
          <w:rFonts w:ascii="Bookman Old Style" w:hAnsi="Bookman Old Style"/>
          <w:color w:val="FF0000"/>
          <w:sz w:val="24"/>
          <w:szCs w:val="24"/>
        </w:rPr>
        <w:t>preenchidos os requisitos necessários para que estejamos diante de uma norma interpretativa:</w:t>
      </w:r>
    </w:p>
    <w:p w:rsidR="00FA31C1" w:rsidRPr="009113A1" w:rsidRDefault="00FA31C1" w:rsidP="009113A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9113A1">
        <w:rPr>
          <w:rFonts w:ascii="Bookman Old Style" w:hAnsi="Bookman Old Style"/>
          <w:color w:val="FF0000"/>
          <w:sz w:val="24"/>
          <w:szCs w:val="24"/>
        </w:rPr>
        <w:t>posterior</w:t>
      </w:r>
      <w:proofErr w:type="gramEnd"/>
      <w:r w:rsidRPr="009113A1">
        <w:rPr>
          <w:rFonts w:ascii="Bookman Old Style" w:hAnsi="Bookman Old Style"/>
          <w:color w:val="FF0000"/>
          <w:sz w:val="24"/>
          <w:szCs w:val="24"/>
        </w:rPr>
        <w:t xml:space="preserve"> à norma interpretada: sim (2009x2013):</w:t>
      </w:r>
    </w:p>
    <w:p w:rsidR="00FA31C1" w:rsidRPr="009113A1" w:rsidRDefault="005C7B20" w:rsidP="009113A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9113A1">
        <w:rPr>
          <w:rFonts w:ascii="Bookman Old Style" w:hAnsi="Bookman Old Style"/>
          <w:color w:val="FF0000"/>
          <w:sz w:val="24"/>
          <w:szCs w:val="24"/>
        </w:rPr>
        <w:t>decorrer</w:t>
      </w:r>
      <w:proofErr w:type="gramEnd"/>
      <w:r w:rsidRPr="009113A1">
        <w:rPr>
          <w:rFonts w:ascii="Bookman Old Style" w:hAnsi="Bookman Old Style"/>
          <w:color w:val="FF0000"/>
          <w:sz w:val="24"/>
          <w:szCs w:val="24"/>
        </w:rPr>
        <w:t xml:space="preserve"> da fonte que é interpretativa: sim, o DL y determina expressamente que é interpretativo;</w:t>
      </w:r>
    </w:p>
    <w:p w:rsidR="005C7B20" w:rsidRPr="009113A1" w:rsidRDefault="005C7B20" w:rsidP="009113A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9113A1">
        <w:rPr>
          <w:rFonts w:ascii="Bookman Old Style" w:hAnsi="Bookman Old Style"/>
          <w:color w:val="FF0000"/>
          <w:sz w:val="24"/>
          <w:szCs w:val="24"/>
        </w:rPr>
        <w:t>vir</w:t>
      </w:r>
      <w:proofErr w:type="gramEnd"/>
      <w:r w:rsidRPr="009113A1">
        <w:rPr>
          <w:rFonts w:ascii="Bookman Old Style" w:hAnsi="Bookman Old Style"/>
          <w:color w:val="FF0000"/>
          <w:sz w:val="24"/>
          <w:szCs w:val="24"/>
        </w:rPr>
        <w:t xml:space="preserve"> esclarecer uma dúvida colocada pela fonte interpretada e fixar uma interpretação que tenha correspondência na letra daquela: sim, a proibição circunscrita à câmara onde se exerceu funções era uma das interpretações possíveis da fonte interpretada, uma das que já se discutia;</w:t>
      </w:r>
    </w:p>
    <w:p w:rsidR="005C7B20" w:rsidRPr="009113A1" w:rsidRDefault="005C7B20" w:rsidP="009113A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proofErr w:type="gramStart"/>
      <w:r w:rsidRPr="009113A1">
        <w:rPr>
          <w:rFonts w:ascii="Bookman Old Style" w:hAnsi="Bookman Old Style"/>
          <w:color w:val="FF0000"/>
          <w:sz w:val="24"/>
          <w:szCs w:val="24"/>
        </w:rPr>
        <w:t>ter</w:t>
      </w:r>
      <w:proofErr w:type="gramEnd"/>
      <w:r w:rsidRPr="009113A1">
        <w:rPr>
          <w:rFonts w:ascii="Bookman Old Style" w:hAnsi="Bookman Old Style"/>
          <w:color w:val="FF0000"/>
          <w:sz w:val="24"/>
          <w:szCs w:val="24"/>
        </w:rPr>
        <w:t xml:space="preserve"> o mesmo patamar hierárquico ou um patamar hierárquico à fonte interpretada: sim, paridade hierárquica entre Lei e DL (artigo 112º/2).</w:t>
      </w:r>
    </w:p>
    <w:p w:rsidR="00F16259" w:rsidRDefault="00F16259" w:rsidP="00F16259">
      <w:pPr>
        <w:pStyle w:val="PargrafodaLista"/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F16259" w:rsidRPr="00AC4256" w:rsidRDefault="00F16259" w:rsidP="00AC4256">
      <w:pPr>
        <w:spacing w:line="360" w:lineRule="auto"/>
        <w:ind w:firstLine="36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AC4256">
        <w:rPr>
          <w:rFonts w:ascii="Bookman Old Style" w:hAnsi="Bookman Old Style"/>
          <w:color w:val="FF0000"/>
          <w:sz w:val="24"/>
          <w:szCs w:val="24"/>
        </w:rPr>
        <w:t xml:space="preserve">Conclusão: a norma em causa era uma </w:t>
      </w:r>
      <w:r w:rsidR="00AC4256" w:rsidRPr="00AC4256">
        <w:rPr>
          <w:rFonts w:ascii="Bookman Old Style" w:hAnsi="Bookman Old Style"/>
          <w:color w:val="FF0000"/>
          <w:sz w:val="24"/>
          <w:szCs w:val="24"/>
        </w:rPr>
        <w:t xml:space="preserve">norma </w:t>
      </w:r>
      <w:r w:rsidRPr="00AC4256">
        <w:rPr>
          <w:rFonts w:ascii="Bookman Old Style" w:hAnsi="Bookman Old Style"/>
          <w:color w:val="FF0000"/>
          <w:sz w:val="24"/>
          <w:szCs w:val="24"/>
        </w:rPr>
        <w:t>interpretativa; realizava interpretação autêntica.</w:t>
      </w:r>
    </w:p>
    <w:p w:rsidR="005C7B20" w:rsidRPr="00F16259" w:rsidRDefault="00F16259" w:rsidP="00F16259">
      <w:pPr>
        <w:spacing w:line="360" w:lineRule="auto"/>
        <w:ind w:firstLine="36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Segundo: chegados a essa conclusão,</w:t>
      </w:r>
      <w:r w:rsidR="005C7B20" w:rsidRPr="00F16259">
        <w:rPr>
          <w:rFonts w:ascii="Bookman Old Style" w:hAnsi="Bookman Old Style"/>
          <w:color w:val="FF0000"/>
          <w:sz w:val="24"/>
          <w:szCs w:val="24"/>
        </w:rPr>
        <w:t xml:space="preserve"> como a sentença passada em julgado que decidia o caso de E era um efeito produzido entre o IV da fonte interpretada e o IV da fonte interpretativa, importava determinar se seria ou não </w:t>
      </w:r>
      <w:proofErr w:type="spellStart"/>
      <w:r w:rsidR="005C7B20" w:rsidRPr="00F16259">
        <w:rPr>
          <w:rFonts w:ascii="Bookman Old Style" w:hAnsi="Bookman Old Style"/>
          <w:color w:val="FF0000"/>
          <w:sz w:val="24"/>
          <w:szCs w:val="24"/>
        </w:rPr>
        <w:t>afetad</w:t>
      </w:r>
      <w:r w:rsidR="009113A1">
        <w:rPr>
          <w:rFonts w:ascii="Bookman Old Style" w:hAnsi="Bookman Old Style"/>
          <w:color w:val="FF0000"/>
          <w:sz w:val="24"/>
          <w:szCs w:val="24"/>
        </w:rPr>
        <w:t>a</w:t>
      </w:r>
      <w:proofErr w:type="spellEnd"/>
      <w:r w:rsidR="009113A1">
        <w:rPr>
          <w:rFonts w:ascii="Bookman Old Style" w:hAnsi="Bookman Old Style"/>
          <w:color w:val="FF0000"/>
          <w:sz w:val="24"/>
          <w:szCs w:val="24"/>
        </w:rPr>
        <w:t>, a</w:t>
      </w:r>
      <w:r w:rsidR="005C7B20" w:rsidRPr="00F16259">
        <w:rPr>
          <w:rFonts w:ascii="Bookman Old Style" w:hAnsi="Bookman Old Style"/>
          <w:color w:val="FF0000"/>
          <w:sz w:val="24"/>
          <w:szCs w:val="24"/>
        </w:rPr>
        <w:t xml:space="preserve">tendendo ao regime de aplicação no tempo da lei interpretativa (cf. artigo 13.º). Desse regime, resultam como linhas de força dois </w:t>
      </w:r>
      <w:proofErr w:type="spellStart"/>
      <w:r w:rsidR="005C7B20" w:rsidRPr="00F16259">
        <w:rPr>
          <w:rFonts w:ascii="Bookman Old Style" w:hAnsi="Bookman Old Style"/>
          <w:color w:val="FF0000"/>
          <w:sz w:val="24"/>
          <w:szCs w:val="24"/>
        </w:rPr>
        <w:t>aspetos</w:t>
      </w:r>
      <w:proofErr w:type="spellEnd"/>
      <w:r w:rsidR="005C7B20" w:rsidRPr="00F16259">
        <w:rPr>
          <w:rFonts w:ascii="Bookman Old Style" w:hAnsi="Bookman Old Style"/>
          <w:color w:val="FF0000"/>
          <w:sz w:val="24"/>
          <w:szCs w:val="24"/>
        </w:rPr>
        <w:t>:</w:t>
      </w:r>
    </w:p>
    <w:p w:rsidR="005C7B20" w:rsidRPr="00F16259" w:rsidRDefault="005C7B20" w:rsidP="005C7B20">
      <w:pPr>
        <w:spacing w:line="360" w:lineRule="auto"/>
        <w:ind w:firstLine="36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F16259">
        <w:rPr>
          <w:rFonts w:ascii="Bookman Old Style" w:hAnsi="Bookman Old Style"/>
          <w:color w:val="FF0000"/>
          <w:sz w:val="24"/>
          <w:szCs w:val="24"/>
        </w:rPr>
        <w:lastRenderedPageBreak/>
        <w:t>1º) A lei/norma interpretativa reporta a sua vigência à data de entrada em vigor da fonte interpretada e não ao do seu próprio IV. Logo, produzia efeitos desde que entrou em vigor a Lei x/2009 tudo se passando como se desde o início aquela fosse</w:t>
      </w:r>
      <w:r w:rsidR="009113A1">
        <w:rPr>
          <w:rFonts w:ascii="Bookman Old Style" w:hAnsi="Bookman Old Style"/>
          <w:color w:val="FF0000"/>
          <w:sz w:val="24"/>
          <w:szCs w:val="24"/>
        </w:rPr>
        <w:t xml:space="preserve"> a única interpretação possível (cf. artigo 13º/1 CC). Apesar disso, do ponto de vista </w:t>
      </w:r>
      <w:r w:rsidR="00C9476A">
        <w:rPr>
          <w:rFonts w:ascii="Bookman Old Style" w:hAnsi="Bookman Old Style"/>
          <w:color w:val="FF0000"/>
          <w:sz w:val="24"/>
          <w:szCs w:val="24"/>
        </w:rPr>
        <w:br/>
      </w:r>
      <w:proofErr w:type="gramStart"/>
      <w:r w:rsidR="009113A1">
        <w:rPr>
          <w:rFonts w:ascii="Bookman Old Style" w:hAnsi="Bookman Old Style"/>
          <w:color w:val="FF0000"/>
          <w:sz w:val="24"/>
          <w:szCs w:val="24"/>
        </w:rPr>
        <w:t>técnico-jurídico</w:t>
      </w:r>
      <w:proofErr w:type="gramEnd"/>
      <w:r w:rsidR="009113A1">
        <w:rPr>
          <w:rFonts w:ascii="Bookman Old Style" w:hAnsi="Bookman Old Style"/>
          <w:color w:val="FF0000"/>
          <w:sz w:val="24"/>
          <w:szCs w:val="24"/>
        </w:rPr>
        <w:t xml:space="preserve">, discute-se se isto </w:t>
      </w:r>
      <w:r w:rsidR="00C9476A">
        <w:rPr>
          <w:rFonts w:ascii="Bookman Old Style" w:hAnsi="Bookman Old Style"/>
          <w:color w:val="FF0000"/>
          <w:sz w:val="24"/>
          <w:szCs w:val="24"/>
        </w:rPr>
        <w:t>há aqui</w:t>
      </w:r>
      <w:r w:rsidR="009113A1">
        <w:rPr>
          <w:rFonts w:ascii="Bookman Old Style" w:hAnsi="Bookman Old Style"/>
          <w:color w:val="FF0000"/>
          <w:sz w:val="24"/>
          <w:szCs w:val="24"/>
        </w:rPr>
        <w:t xml:space="preserve"> verdadeira </w:t>
      </w:r>
      <w:proofErr w:type="spellStart"/>
      <w:r w:rsidR="009113A1">
        <w:rPr>
          <w:rFonts w:ascii="Bookman Old Style" w:hAnsi="Bookman Old Style"/>
          <w:color w:val="FF0000"/>
          <w:sz w:val="24"/>
          <w:szCs w:val="24"/>
        </w:rPr>
        <w:t>retroatividade</w:t>
      </w:r>
      <w:proofErr w:type="spellEnd"/>
      <w:r w:rsidR="009113A1">
        <w:rPr>
          <w:rFonts w:ascii="Bookman Old Style" w:hAnsi="Bookman Old Style"/>
          <w:color w:val="FF0000"/>
          <w:sz w:val="24"/>
          <w:szCs w:val="24"/>
        </w:rPr>
        <w:t>,</w:t>
      </w:r>
    </w:p>
    <w:p w:rsidR="005C7B20" w:rsidRDefault="005C7B20" w:rsidP="005C7B20">
      <w:pPr>
        <w:spacing w:line="360" w:lineRule="auto"/>
        <w:ind w:firstLine="36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F16259">
        <w:rPr>
          <w:rFonts w:ascii="Bookman Old Style" w:hAnsi="Bookman Old Style"/>
          <w:color w:val="FF0000"/>
          <w:sz w:val="24"/>
          <w:szCs w:val="24"/>
        </w:rPr>
        <w:t xml:space="preserve">2º Relativamente aos efeitos </w:t>
      </w:r>
      <w:r w:rsidR="00F16259" w:rsidRPr="00F16259">
        <w:rPr>
          <w:rFonts w:ascii="Bookman Old Style" w:hAnsi="Bookman Old Style"/>
          <w:color w:val="FF0000"/>
          <w:sz w:val="24"/>
          <w:szCs w:val="24"/>
        </w:rPr>
        <w:t xml:space="preserve">produzidos </w:t>
      </w:r>
      <w:r w:rsidR="00F16259" w:rsidRPr="00F16259">
        <w:rPr>
          <w:rFonts w:ascii="Bookman Old Style" w:hAnsi="Bookman Old Style"/>
          <w:color w:val="FF0000"/>
          <w:sz w:val="24"/>
          <w:szCs w:val="24"/>
        </w:rPr>
        <w:t>entre o IV da fonte interpretada e o IV da fonte interpretativa</w:t>
      </w:r>
      <w:r w:rsidR="009113A1">
        <w:rPr>
          <w:rFonts w:ascii="Bookman Old Style" w:hAnsi="Bookman Old Style"/>
          <w:color w:val="FF0000"/>
          <w:sz w:val="24"/>
          <w:szCs w:val="24"/>
        </w:rPr>
        <w:t xml:space="preserve">, </w:t>
      </w:r>
      <w:r w:rsidR="00F16259" w:rsidRPr="00F16259">
        <w:rPr>
          <w:rFonts w:ascii="Bookman Old Style" w:hAnsi="Bookman Old Style"/>
          <w:color w:val="FF0000"/>
          <w:sz w:val="24"/>
          <w:szCs w:val="24"/>
        </w:rPr>
        <w:t xml:space="preserve">TODOS são afectados pela aplicação “para o passado” da lei/norma interpretativa, com </w:t>
      </w:r>
      <w:proofErr w:type="spellStart"/>
      <w:r w:rsidR="00F16259" w:rsidRPr="00F16259">
        <w:rPr>
          <w:rFonts w:ascii="Bookman Old Style" w:hAnsi="Bookman Old Style"/>
          <w:color w:val="FF0000"/>
          <w:sz w:val="24"/>
          <w:szCs w:val="24"/>
        </w:rPr>
        <w:t>execeção</w:t>
      </w:r>
      <w:proofErr w:type="spellEnd"/>
      <w:r w:rsidR="00F16259" w:rsidRPr="00F16259">
        <w:rPr>
          <w:rFonts w:ascii="Bookman Old Style" w:hAnsi="Bookman Old Style"/>
          <w:color w:val="FF0000"/>
          <w:sz w:val="24"/>
          <w:szCs w:val="24"/>
        </w:rPr>
        <w:t xml:space="preserve"> APENAS dos efeitos</w:t>
      </w:r>
      <w:r w:rsidRPr="00F16259">
        <w:rPr>
          <w:rFonts w:ascii="Bookman Old Style" w:hAnsi="Bookman Old Style"/>
          <w:color w:val="FF0000"/>
          <w:sz w:val="24"/>
          <w:szCs w:val="24"/>
        </w:rPr>
        <w:t xml:space="preserve"> expressamente refer</w:t>
      </w:r>
      <w:r w:rsidR="009113A1">
        <w:rPr>
          <w:rFonts w:ascii="Bookman Old Style" w:hAnsi="Bookman Old Style"/>
          <w:color w:val="FF0000"/>
          <w:sz w:val="24"/>
          <w:szCs w:val="24"/>
        </w:rPr>
        <w:t>idos no artigo 13.º. Nesses termos, deve e</w:t>
      </w:r>
      <w:r w:rsidRPr="00F16259">
        <w:rPr>
          <w:rFonts w:ascii="Bookman Old Style" w:hAnsi="Bookman Old Style"/>
          <w:color w:val="FF0000"/>
          <w:sz w:val="24"/>
          <w:szCs w:val="24"/>
        </w:rPr>
        <w:t>ntender-se que são “actos de análoga natureza”</w:t>
      </w:r>
      <w:r w:rsidR="00E16376">
        <w:rPr>
          <w:rFonts w:ascii="Bookman Old Style" w:hAnsi="Bookman Old Style"/>
          <w:color w:val="FF0000"/>
          <w:sz w:val="24"/>
          <w:szCs w:val="24"/>
        </w:rPr>
        <w:t xml:space="preserve"> i) segundo TEIXEIRA DE SOUSA </w:t>
      </w:r>
      <w:r w:rsidRPr="00F16259">
        <w:rPr>
          <w:rFonts w:ascii="Bookman Old Style" w:hAnsi="Bookman Old Style"/>
          <w:color w:val="FF0000"/>
          <w:sz w:val="24"/>
          <w:szCs w:val="24"/>
        </w:rPr>
        <w:t xml:space="preserve">a desistência e a confissão </w:t>
      </w:r>
      <w:r w:rsidR="00E16376">
        <w:rPr>
          <w:rFonts w:ascii="Bookman Old Style" w:hAnsi="Bookman Old Style"/>
          <w:color w:val="FF0000"/>
          <w:sz w:val="24"/>
          <w:szCs w:val="24"/>
        </w:rPr>
        <w:t xml:space="preserve">(cf. artigo 13.º/2) </w:t>
      </w:r>
      <w:r w:rsidRPr="00F16259">
        <w:rPr>
          <w:rFonts w:ascii="Bookman Old Style" w:hAnsi="Bookman Old Style"/>
          <w:color w:val="FF0000"/>
          <w:sz w:val="24"/>
          <w:szCs w:val="24"/>
        </w:rPr>
        <w:t xml:space="preserve">e ainda, segundo PIRES DE LIMA/ANTUNES </w:t>
      </w:r>
      <w:proofErr w:type="gramStart"/>
      <w:r w:rsidRPr="00F16259">
        <w:rPr>
          <w:rFonts w:ascii="Bookman Old Style" w:hAnsi="Bookman Old Style"/>
          <w:color w:val="FF0000"/>
          <w:sz w:val="24"/>
          <w:szCs w:val="24"/>
        </w:rPr>
        <w:t xml:space="preserve">VARELA.  </w:t>
      </w:r>
      <w:proofErr w:type="gramEnd"/>
      <w:r w:rsidRPr="00F16259">
        <w:rPr>
          <w:rFonts w:ascii="Bookman Old Style" w:hAnsi="Bookman Old Style"/>
          <w:color w:val="FF0000"/>
          <w:sz w:val="24"/>
          <w:szCs w:val="24"/>
        </w:rPr>
        <w:t xml:space="preserve">i) </w:t>
      </w:r>
      <w:proofErr w:type="gramStart"/>
      <w:r w:rsidRPr="00F16259">
        <w:rPr>
          <w:rFonts w:ascii="Bookman Old Style" w:hAnsi="Bookman Old Style"/>
          <w:color w:val="FF0000"/>
          <w:sz w:val="24"/>
          <w:szCs w:val="24"/>
        </w:rPr>
        <w:t>todos</w:t>
      </w:r>
      <w:proofErr w:type="gramEnd"/>
      <w:r w:rsidRPr="00F16259">
        <w:rPr>
          <w:rFonts w:ascii="Bookman Old Style" w:hAnsi="Bookman Old Style"/>
          <w:color w:val="FF0000"/>
          <w:sz w:val="24"/>
          <w:szCs w:val="24"/>
        </w:rPr>
        <w:t xml:space="preserve"> os </w:t>
      </w:r>
      <w:proofErr w:type="spellStart"/>
      <w:r w:rsidRPr="00F16259">
        <w:rPr>
          <w:rFonts w:ascii="Bookman Old Style" w:hAnsi="Bookman Old Style"/>
          <w:color w:val="FF0000"/>
          <w:sz w:val="24"/>
          <w:szCs w:val="24"/>
        </w:rPr>
        <w:t>atos</w:t>
      </w:r>
      <w:proofErr w:type="spellEnd"/>
      <w:r w:rsidRPr="00F16259">
        <w:rPr>
          <w:rFonts w:ascii="Bookman Old Style" w:hAnsi="Bookman Old Style"/>
          <w:color w:val="FF0000"/>
          <w:sz w:val="24"/>
          <w:szCs w:val="24"/>
        </w:rPr>
        <w:t xml:space="preserve"> que importem o reconhecimento ou definição de um direito e iii) as causas extintivas de situações jurídicas (ex. caducidade)</w:t>
      </w:r>
      <w:r w:rsidR="009113A1">
        <w:rPr>
          <w:rFonts w:ascii="Bookman Old Style" w:hAnsi="Bookman Old Style"/>
          <w:color w:val="FF0000"/>
          <w:sz w:val="24"/>
          <w:szCs w:val="24"/>
        </w:rPr>
        <w:t>.</w:t>
      </w:r>
      <w:r w:rsidR="00C9476A">
        <w:rPr>
          <w:rFonts w:ascii="Bookman Old Style" w:hAnsi="Bookman Old Style"/>
          <w:color w:val="FF0000"/>
          <w:sz w:val="24"/>
          <w:szCs w:val="24"/>
        </w:rPr>
        <w:t xml:space="preserve"> Quem dia que a lei interpretativa é </w:t>
      </w:r>
      <w:proofErr w:type="spellStart"/>
      <w:r w:rsidR="00C9476A">
        <w:rPr>
          <w:rFonts w:ascii="Bookman Old Style" w:hAnsi="Bookman Old Style"/>
          <w:color w:val="FF0000"/>
          <w:sz w:val="24"/>
          <w:szCs w:val="24"/>
        </w:rPr>
        <w:t>retroativa</w:t>
      </w:r>
      <w:proofErr w:type="spellEnd"/>
      <w:r w:rsidR="00C9476A">
        <w:rPr>
          <w:rFonts w:ascii="Bookman Old Style" w:hAnsi="Bookman Old Style"/>
          <w:color w:val="FF0000"/>
          <w:sz w:val="24"/>
          <w:szCs w:val="24"/>
        </w:rPr>
        <w:t xml:space="preserve">, dirá que ela tem </w:t>
      </w:r>
      <w:proofErr w:type="spellStart"/>
      <w:r w:rsidR="00C9476A" w:rsidRPr="00C9476A">
        <w:rPr>
          <w:rFonts w:ascii="Bookman Old Style" w:hAnsi="Bookman Old Style"/>
          <w:b/>
          <w:color w:val="FF0000"/>
          <w:sz w:val="24"/>
          <w:szCs w:val="24"/>
        </w:rPr>
        <w:t>retroatividade</w:t>
      </w:r>
      <w:proofErr w:type="spellEnd"/>
      <w:r w:rsidR="00C9476A" w:rsidRPr="00C9476A">
        <w:rPr>
          <w:rFonts w:ascii="Bookman Old Style" w:hAnsi="Bookman Old Style"/>
          <w:b/>
          <w:color w:val="FF0000"/>
          <w:sz w:val="24"/>
          <w:szCs w:val="24"/>
        </w:rPr>
        <w:t xml:space="preserve"> agravada.</w:t>
      </w:r>
    </w:p>
    <w:p w:rsidR="00FA31C1" w:rsidRPr="009113A1" w:rsidRDefault="009113A1" w:rsidP="009113A1">
      <w:pPr>
        <w:spacing w:line="360" w:lineRule="auto"/>
        <w:ind w:firstLine="36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Ora, aplicando esse regime</w:t>
      </w:r>
      <w:r w:rsidR="00C9476A">
        <w:rPr>
          <w:rFonts w:ascii="Bookman Old Style" w:hAnsi="Bookman Old Style"/>
          <w:color w:val="FF0000"/>
          <w:sz w:val="24"/>
          <w:szCs w:val="24"/>
        </w:rPr>
        <w:t xml:space="preserve"> ao caso</w:t>
      </w:r>
      <w:r>
        <w:rPr>
          <w:rFonts w:ascii="Bookman Old Style" w:hAnsi="Bookman Old Style"/>
          <w:color w:val="FF0000"/>
          <w:sz w:val="24"/>
          <w:szCs w:val="24"/>
        </w:rPr>
        <w:t xml:space="preserve">, chegamos à conclusão que a sentença que decidiu o caso de E, como tinha transitado em julgado (“por sentença passada em julgado”) tinha os seus efeitos ressalvados/protegidos/não </w:t>
      </w:r>
      <w:proofErr w:type="spellStart"/>
      <w:r>
        <w:rPr>
          <w:rFonts w:ascii="Bookman Old Style" w:hAnsi="Bookman Old Style"/>
          <w:color w:val="FF0000"/>
          <w:sz w:val="24"/>
          <w:szCs w:val="24"/>
        </w:rPr>
        <w:t>afetados</w:t>
      </w:r>
      <w:proofErr w:type="spellEnd"/>
      <w:r>
        <w:rPr>
          <w:rFonts w:ascii="Bookman Old Style" w:hAnsi="Bookman Old Style"/>
          <w:color w:val="FF0000"/>
          <w:sz w:val="24"/>
          <w:szCs w:val="24"/>
        </w:rPr>
        <w:t xml:space="preserve">. Isto é, aquela decisão é definitiva e não é reaberta pela entrada em vigor da </w:t>
      </w:r>
      <w:r w:rsidR="00C9476A">
        <w:rPr>
          <w:rFonts w:ascii="Bookman Old Style" w:hAnsi="Bookman Old Style"/>
          <w:color w:val="FF0000"/>
          <w:sz w:val="24"/>
          <w:szCs w:val="24"/>
        </w:rPr>
        <w:t xml:space="preserve">norma </w:t>
      </w:r>
      <w:r>
        <w:rPr>
          <w:rFonts w:ascii="Bookman Old Style" w:hAnsi="Bookman Old Style"/>
          <w:color w:val="FF0000"/>
          <w:sz w:val="24"/>
          <w:szCs w:val="24"/>
        </w:rPr>
        <w:t>interpretativa. Assim, E não poderia candidatar-se à CM de Alheiras Maiores.</w:t>
      </w:r>
    </w:p>
    <w:p w:rsidR="00125B20" w:rsidRPr="00125B20" w:rsidRDefault="00A14A44" w:rsidP="004A5242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4A5242">
        <w:rPr>
          <w:rFonts w:ascii="Bookman Old Style" w:hAnsi="Bookman Old Style"/>
          <w:b/>
          <w:sz w:val="24"/>
          <w:szCs w:val="24"/>
        </w:rPr>
        <w:t>2 –</w:t>
      </w:r>
      <w:r>
        <w:rPr>
          <w:rFonts w:ascii="Bookman Old Style" w:hAnsi="Bookman Old Style"/>
          <w:sz w:val="24"/>
          <w:szCs w:val="24"/>
        </w:rPr>
        <w:t xml:space="preserve"> Por sua vez, </w:t>
      </w:r>
      <w:r w:rsidR="00CF2AF4">
        <w:rPr>
          <w:rFonts w:ascii="Bookman Old Style" w:hAnsi="Bookman Old Style"/>
          <w:sz w:val="24"/>
          <w:szCs w:val="24"/>
        </w:rPr>
        <w:t xml:space="preserve">MATARRUANO, presidente da junta de freguesia de São Jorge há 4 mandatos, pretende candidatar-se </w:t>
      </w:r>
      <w:r w:rsidR="00423455">
        <w:rPr>
          <w:rFonts w:ascii="Bookman Old Style" w:hAnsi="Bookman Old Style"/>
          <w:sz w:val="24"/>
          <w:szCs w:val="24"/>
        </w:rPr>
        <w:t xml:space="preserve">ao </w:t>
      </w:r>
      <w:r w:rsidR="00CF2AF4">
        <w:rPr>
          <w:rFonts w:ascii="Bookman Old Style" w:hAnsi="Bookman Old Style"/>
          <w:sz w:val="24"/>
          <w:szCs w:val="24"/>
        </w:rPr>
        <w:t xml:space="preserve">5.º, nas </w:t>
      </w:r>
      <w:r w:rsidR="00B95095">
        <w:rPr>
          <w:rFonts w:ascii="Bookman Old Style" w:hAnsi="Bookman Old Style"/>
          <w:sz w:val="24"/>
          <w:szCs w:val="24"/>
        </w:rPr>
        <w:t xml:space="preserve">eleições autárquicas deste ano, tendo apresentando a candidatura a 30 de </w:t>
      </w:r>
      <w:proofErr w:type="spellStart"/>
      <w:r w:rsidR="00125B20">
        <w:rPr>
          <w:rFonts w:ascii="Bookman Old Style" w:hAnsi="Bookman Old Style"/>
          <w:sz w:val="24"/>
          <w:szCs w:val="24"/>
        </w:rPr>
        <w:t>junho</w:t>
      </w:r>
      <w:proofErr w:type="spellEnd"/>
      <w:r w:rsidR="00125B20">
        <w:rPr>
          <w:rFonts w:ascii="Bookman Old Style" w:hAnsi="Bookman Old Style"/>
          <w:sz w:val="24"/>
          <w:szCs w:val="24"/>
        </w:rPr>
        <w:t xml:space="preserve"> de 2013, junto do tribunal de comarca territorialmente competente.</w:t>
      </w:r>
      <w:r w:rsidR="00125B20">
        <w:rPr>
          <w:rStyle w:val="Refdenotaderodap"/>
          <w:rFonts w:ascii="Bookman Old Style" w:hAnsi="Bookman Old Style"/>
          <w:sz w:val="24"/>
          <w:szCs w:val="24"/>
        </w:rPr>
        <w:footnoteReference w:id="1"/>
      </w:r>
      <w:r w:rsidR="00125B20">
        <w:rPr>
          <w:rFonts w:ascii="Bookman Old Style" w:hAnsi="Bookman Old Style"/>
          <w:sz w:val="24"/>
          <w:szCs w:val="24"/>
        </w:rPr>
        <w:t xml:space="preserve"> Até ao dia 2 de </w:t>
      </w:r>
      <w:proofErr w:type="spellStart"/>
      <w:r w:rsidR="00125B20">
        <w:rPr>
          <w:rFonts w:ascii="Bookman Old Style" w:hAnsi="Bookman Old Style"/>
          <w:sz w:val="24"/>
          <w:szCs w:val="24"/>
        </w:rPr>
        <w:t>setembro</w:t>
      </w:r>
      <w:proofErr w:type="spellEnd"/>
      <w:r w:rsidR="00125B20">
        <w:rPr>
          <w:rFonts w:ascii="Bookman Old Style" w:hAnsi="Bookman Old Style"/>
          <w:sz w:val="24"/>
          <w:szCs w:val="24"/>
        </w:rPr>
        <w:t xml:space="preserve"> de 2013, o tribunal ainda não se tinha pronunciado sobre a candidatura. Deverá a mesma ser aceite?</w:t>
      </w:r>
    </w:p>
    <w:p w:rsidR="00B95095" w:rsidRDefault="009113A1" w:rsidP="0026681A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lastRenderedPageBreak/>
        <w:tab/>
        <w:t xml:space="preserve">Neste caso, colocava-se problema semelhante. Contudo, a norma revelada pela alínea b) </w:t>
      </w:r>
      <w:r w:rsidRPr="00F16259">
        <w:rPr>
          <w:rFonts w:ascii="Bookman Old Style" w:hAnsi="Bookman Old Style"/>
          <w:color w:val="FF0000"/>
          <w:sz w:val="24"/>
          <w:szCs w:val="24"/>
        </w:rPr>
        <w:t>do n.º 1 do artigo único do DL y/2013</w:t>
      </w:r>
      <w:r w:rsidR="00B44DFE">
        <w:rPr>
          <w:rFonts w:ascii="Bookman Old Style" w:hAnsi="Bookman Old Style"/>
          <w:color w:val="FF0000"/>
          <w:sz w:val="24"/>
          <w:szCs w:val="24"/>
        </w:rPr>
        <w:t xml:space="preserve"> já não poderia</w:t>
      </w:r>
      <w:r>
        <w:rPr>
          <w:rFonts w:ascii="Bookman Old Style" w:hAnsi="Bookman Old Style"/>
          <w:color w:val="FF0000"/>
          <w:sz w:val="24"/>
          <w:szCs w:val="24"/>
        </w:rPr>
        <w:t xml:space="preserve"> qualificar-se como interpretativa pois que estava preterido o 3.º requisito. Com efeito, “junta de freguesia” não é um sentido literalmente possível da expressão “câmara municipal”. Trata-se, portanto, de uma norma falsamente interpretativa. Como tratar uma norma falsamente interpretativa?</w:t>
      </w:r>
    </w:p>
    <w:p w:rsidR="009113A1" w:rsidRDefault="009113A1" w:rsidP="0026681A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 xml:space="preserve">Na verdade, uma norma falsamente interpretativa não é mais do que uma norma </w:t>
      </w:r>
      <w:proofErr w:type="spellStart"/>
      <w:r>
        <w:rPr>
          <w:rFonts w:ascii="Bookman Old Style" w:hAnsi="Bookman Old Style"/>
          <w:color w:val="FF0000"/>
          <w:sz w:val="24"/>
          <w:szCs w:val="24"/>
        </w:rPr>
        <w:t>retroativa</w:t>
      </w:r>
      <w:proofErr w:type="spellEnd"/>
      <w:r>
        <w:rPr>
          <w:rFonts w:ascii="Bookman Old Style" w:hAnsi="Bookman Old Style"/>
          <w:color w:val="FF0000"/>
          <w:sz w:val="24"/>
          <w:szCs w:val="24"/>
        </w:rPr>
        <w:t xml:space="preserve">, ainda que a </w:t>
      </w:r>
      <w:proofErr w:type="spellStart"/>
      <w:r>
        <w:rPr>
          <w:rFonts w:ascii="Bookman Old Style" w:hAnsi="Bookman Old Style"/>
          <w:color w:val="FF0000"/>
          <w:sz w:val="24"/>
          <w:szCs w:val="24"/>
        </w:rPr>
        <w:t>retroatividade</w:t>
      </w:r>
      <w:proofErr w:type="spellEnd"/>
      <w:r>
        <w:rPr>
          <w:rFonts w:ascii="Bookman Old Style" w:hAnsi="Bookman Old Style"/>
          <w:color w:val="FF0000"/>
          <w:sz w:val="24"/>
          <w:szCs w:val="24"/>
        </w:rPr>
        <w:t xml:space="preserve"> esteja “escondida”. Isto porque o seu </w:t>
      </w:r>
      <w:proofErr w:type="spellStart"/>
      <w:r>
        <w:rPr>
          <w:rFonts w:ascii="Bookman Old Style" w:hAnsi="Bookman Old Style"/>
          <w:color w:val="FF0000"/>
          <w:sz w:val="24"/>
          <w:szCs w:val="24"/>
        </w:rPr>
        <w:t>objetivo</w:t>
      </w:r>
      <w:proofErr w:type="spellEnd"/>
      <w:r>
        <w:rPr>
          <w:rFonts w:ascii="Bookman Old Style" w:hAnsi="Bookman Old Style"/>
          <w:color w:val="FF0000"/>
          <w:sz w:val="24"/>
          <w:szCs w:val="24"/>
        </w:rPr>
        <w:t xml:space="preserve"> é precisamente poder reportar-se ao passado, conforme acontece com as normas interpretativas.</w:t>
      </w:r>
    </w:p>
    <w:p w:rsidR="009113A1" w:rsidRDefault="009113A1" w:rsidP="0026681A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 xml:space="preserve">Sendo uma norma </w:t>
      </w:r>
      <w:proofErr w:type="spellStart"/>
      <w:r>
        <w:rPr>
          <w:rFonts w:ascii="Bookman Old Style" w:hAnsi="Bookman Old Style"/>
          <w:color w:val="FF0000"/>
          <w:sz w:val="24"/>
          <w:szCs w:val="24"/>
        </w:rPr>
        <w:t>retroativa</w:t>
      </w:r>
      <w:proofErr w:type="spellEnd"/>
      <w:r>
        <w:rPr>
          <w:rFonts w:ascii="Bookman Old Style" w:hAnsi="Bookman Old Style"/>
          <w:color w:val="FF0000"/>
          <w:sz w:val="24"/>
          <w:szCs w:val="24"/>
        </w:rPr>
        <w:t xml:space="preserve"> encapotada, </w:t>
      </w:r>
      <w:r w:rsidR="00B44DFE">
        <w:rPr>
          <w:rFonts w:ascii="Bookman Old Style" w:hAnsi="Bookman Old Style"/>
          <w:color w:val="FF0000"/>
          <w:sz w:val="24"/>
          <w:szCs w:val="24"/>
        </w:rPr>
        <w:t>ela é</w:t>
      </w:r>
      <w:r>
        <w:rPr>
          <w:rFonts w:ascii="Bookman Old Style" w:hAnsi="Bookman Old Style"/>
          <w:color w:val="FF0000"/>
          <w:sz w:val="24"/>
          <w:szCs w:val="24"/>
        </w:rPr>
        <w:t xml:space="preserve"> admissível porque se o legislador poderia comandar </w:t>
      </w:r>
      <w:proofErr w:type="spellStart"/>
      <w:r>
        <w:rPr>
          <w:rFonts w:ascii="Bookman Old Style" w:hAnsi="Bookman Old Style"/>
          <w:color w:val="FF0000"/>
          <w:sz w:val="24"/>
          <w:szCs w:val="24"/>
        </w:rPr>
        <w:t>diretamente</w:t>
      </w:r>
      <w:proofErr w:type="spellEnd"/>
      <w:r>
        <w:rPr>
          <w:rFonts w:ascii="Bookman Old Style" w:hAnsi="Bookman Old Style"/>
          <w:color w:val="FF0000"/>
          <w:sz w:val="24"/>
          <w:szCs w:val="24"/>
        </w:rPr>
        <w:t xml:space="preserve"> a </w:t>
      </w:r>
      <w:proofErr w:type="spellStart"/>
      <w:r>
        <w:rPr>
          <w:rFonts w:ascii="Bookman Old Style" w:hAnsi="Bookman Old Style"/>
          <w:color w:val="FF0000"/>
          <w:sz w:val="24"/>
          <w:szCs w:val="24"/>
        </w:rPr>
        <w:t>retroatividade</w:t>
      </w:r>
      <w:proofErr w:type="spellEnd"/>
      <w:r w:rsidR="00B44DFE">
        <w:rPr>
          <w:rFonts w:ascii="Bookman Old Style" w:hAnsi="Bookman Old Style"/>
          <w:color w:val="FF0000"/>
          <w:sz w:val="24"/>
          <w:szCs w:val="24"/>
        </w:rPr>
        <w:t xml:space="preserve"> (o “mais”)</w:t>
      </w:r>
      <w:r>
        <w:rPr>
          <w:rFonts w:ascii="Bookman Old Style" w:hAnsi="Bookman Old Style"/>
          <w:color w:val="FF0000"/>
          <w:sz w:val="24"/>
          <w:szCs w:val="24"/>
        </w:rPr>
        <w:t xml:space="preserve">, também o pode fazer </w:t>
      </w:r>
      <w:r w:rsidR="00B44DFE">
        <w:rPr>
          <w:rFonts w:ascii="Bookman Old Style" w:hAnsi="Bookman Old Style"/>
          <w:color w:val="FF0000"/>
          <w:sz w:val="24"/>
          <w:szCs w:val="24"/>
        </w:rPr>
        <w:t>ocultamente (o “menos”).</w:t>
      </w:r>
      <w:r>
        <w:rPr>
          <w:rFonts w:ascii="Bookman Old Style" w:hAnsi="Bookman Old Style"/>
          <w:color w:val="FF0000"/>
          <w:sz w:val="24"/>
          <w:szCs w:val="24"/>
        </w:rPr>
        <w:t xml:space="preserve"> Então, esta norma deve ser tratada como se de um</w:t>
      </w:r>
      <w:r w:rsidR="00B44DFE">
        <w:rPr>
          <w:rFonts w:ascii="Bookman Old Style" w:hAnsi="Bookman Old Style"/>
          <w:color w:val="FF0000"/>
          <w:sz w:val="24"/>
          <w:szCs w:val="24"/>
        </w:rPr>
        <w:t xml:space="preserve">a norma </w:t>
      </w:r>
      <w:proofErr w:type="spellStart"/>
      <w:r w:rsidR="00B44DFE">
        <w:rPr>
          <w:rFonts w:ascii="Bookman Old Style" w:hAnsi="Bookman Old Style"/>
          <w:color w:val="FF0000"/>
          <w:sz w:val="24"/>
          <w:szCs w:val="24"/>
        </w:rPr>
        <w:t>retroativa</w:t>
      </w:r>
      <w:proofErr w:type="spellEnd"/>
      <w:r w:rsidR="00B44DFE">
        <w:rPr>
          <w:rFonts w:ascii="Bookman Old Style" w:hAnsi="Bookman Old Style"/>
          <w:color w:val="FF0000"/>
          <w:sz w:val="24"/>
          <w:szCs w:val="24"/>
        </w:rPr>
        <w:t xml:space="preserve"> se tratasse, pelo que:</w:t>
      </w:r>
      <w:r>
        <w:rPr>
          <w:rFonts w:ascii="Bookman Old Style" w:hAnsi="Bookman Old Style"/>
          <w:color w:val="FF0000"/>
          <w:sz w:val="24"/>
          <w:szCs w:val="24"/>
        </w:rPr>
        <w:t xml:space="preserve">1º) deve verificar-se se a </w:t>
      </w:r>
      <w:proofErr w:type="spellStart"/>
      <w:r>
        <w:rPr>
          <w:rFonts w:ascii="Bookman Old Style" w:hAnsi="Bookman Old Style"/>
          <w:color w:val="FF0000"/>
          <w:sz w:val="24"/>
          <w:szCs w:val="24"/>
        </w:rPr>
        <w:t>retroatividade</w:t>
      </w:r>
      <w:proofErr w:type="spellEnd"/>
      <w:r>
        <w:rPr>
          <w:rFonts w:ascii="Bookman Old Style" w:hAnsi="Bookman Old Style"/>
          <w:color w:val="FF0000"/>
          <w:sz w:val="24"/>
          <w:szCs w:val="24"/>
        </w:rPr>
        <w:t xml:space="preserve"> não é proibida naquele caso concreto e 2º) qual o grau de </w:t>
      </w:r>
      <w:proofErr w:type="spellStart"/>
      <w:r>
        <w:rPr>
          <w:rFonts w:ascii="Bookman Old Style" w:hAnsi="Bookman Old Style"/>
          <w:color w:val="FF0000"/>
          <w:sz w:val="24"/>
          <w:szCs w:val="24"/>
        </w:rPr>
        <w:t>retroatividade</w:t>
      </w:r>
      <w:proofErr w:type="spellEnd"/>
      <w:r>
        <w:rPr>
          <w:rFonts w:ascii="Bookman Old Style" w:hAnsi="Bookman Old Style"/>
          <w:color w:val="FF0000"/>
          <w:sz w:val="24"/>
          <w:szCs w:val="24"/>
        </w:rPr>
        <w:t xml:space="preserve"> em causa.</w:t>
      </w:r>
    </w:p>
    <w:p w:rsidR="009113A1" w:rsidRDefault="009113A1" w:rsidP="0026681A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Aplicando estas asserções ao nosso caso:</w:t>
      </w:r>
    </w:p>
    <w:p w:rsidR="009113A1" w:rsidRDefault="00B44DFE" w:rsidP="009113A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Concluíamos</w:t>
      </w:r>
      <w:r w:rsidR="009113A1">
        <w:rPr>
          <w:rFonts w:ascii="Bookman Old Style" w:hAnsi="Bookman Old Style"/>
          <w:color w:val="FF0000"/>
          <w:sz w:val="24"/>
          <w:szCs w:val="24"/>
        </w:rPr>
        <w:t xml:space="preserve"> que não havia qualquer proibição de </w:t>
      </w:r>
      <w:proofErr w:type="spellStart"/>
      <w:r w:rsidR="009113A1">
        <w:rPr>
          <w:rFonts w:ascii="Bookman Old Style" w:hAnsi="Bookman Old Style"/>
          <w:color w:val="FF0000"/>
          <w:sz w:val="24"/>
          <w:szCs w:val="24"/>
        </w:rPr>
        <w:t>retroatividade</w:t>
      </w:r>
      <w:proofErr w:type="spellEnd"/>
      <w:r w:rsidR="009113A1">
        <w:rPr>
          <w:rFonts w:ascii="Bookman Old Style" w:hAnsi="Bookman Old Style"/>
          <w:color w:val="FF0000"/>
          <w:sz w:val="24"/>
          <w:szCs w:val="24"/>
        </w:rPr>
        <w:t xml:space="preserve"> neste caso;</w:t>
      </w:r>
    </w:p>
    <w:p w:rsidR="009113A1" w:rsidRDefault="00B44DFE" w:rsidP="009113A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Q</w:t>
      </w:r>
      <w:r w:rsidR="009113A1">
        <w:rPr>
          <w:rFonts w:ascii="Bookman Old Style" w:hAnsi="Bookman Old Style"/>
          <w:color w:val="FF0000"/>
          <w:sz w:val="24"/>
          <w:szCs w:val="24"/>
        </w:rPr>
        <w:t xml:space="preserve">uanto ao concreto grau de </w:t>
      </w:r>
      <w:proofErr w:type="spellStart"/>
      <w:r w:rsidR="009113A1">
        <w:rPr>
          <w:rFonts w:ascii="Bookman Old Style" w:hAnsi="Bookman Old Style"/>
          <w:color w:val="FF0000"/>
          <w:sz w:val="24"/>
          <w:szCs w:val="24"/>
        </w:rPr>
        <w:t>retroatividade</w:t>
      </w:r>
      <w:proofErr w:type="spellEnd"/>
      <w:r w:rsidR="009113A1">
        <w:rPr>
          <w:rFonts w:ascii="Bookman Old Style" w:hAnsi="Bookman Old Style"/>
          <w:color w:val="FF0000"/>
          <w:sz w:val="24"/>
          <w:szCs w:val="24"/>
        </w:rPr>
        <w:t xml:space="preserve"> das normas falsamente interpretativas, há duas hipóteses: ou reconhece-se-lhe o grau de </w:t>
      </w:r>
      <w:proofErr w:type="spellStart"/>
      <w:r w:rsidR="009113A1">
        <w:rPr>
          <w:rFonts w:ascii="Bookman Old Style" w:hAnsi="Bookman Old Style"/>
          <w:color w:val="FF0000"/>
          <w:sz w:val="24"/>
          <w:szCs w:val="24"/>
        </w:rPr>
        <w:t>retroatividade</w:t>
      </w:r>
      <w:proofErr w:type="spellEnd"/>
      <w:r w:rsidR="009113A1">
        <w:rPr>
          <w:rFonts w:ascii="Bookman Old Style" w:hAnsi="Bookman Old Style"/>
          <w:color w:val="FF0000"/>
          <w:sz w:val="24"/>
          <w:szCs w:val="24"/>
        </w:rPr>
        <w:t xml:space="preserve"> das normas verdadeiramente interpretativas, aplicando o artigo 13.º (BAPTISTA MACHADO</w:t>
      </w:r>
      <w:r w:rsidR="00E16376">
        <w:rPr>
          <w:rFonts w:ascii="Bookman Old Style" w:hAnsi="Bookman Old Style"/>
          <w:color w:val="FF0000"/>
          <w:sz w:val="24"/>
          <w:szCs w:val="24"/>
        </w:rPr>
        <w:t>/TEIXEIRA DE SOUSA</w:t>
      </w:r>
      <w:r w:rsidR="009113A1">
        <w:rPr>
          <w:rFonts w:ascii="Bookman Old Style" w:hAnsi="Bookman Old Style"/>
          <w:color w:val="FF0000"/>
          <w:sz w:val="24"/>
          <w:szCs w:val="24"/>
        </w:rPr>
        <w:t xml:space="preserve">) ou se aplica o regime residual de </w:t>
      </w:r>
      <w:proofErr w:type="spellStart"/>
      <w:r w:rsidR="009113A1">
        <w:rPr>
          <w:rFonts w:ascii="Bookman Old Style" w:hAnsi="Bookman Old Style"/>
          <w:color w:val="FF0000"/>
          <w:sz w:val="24"/>
          <w:szCs w:val="24"/>
        </w:rPr>
        <w:t>retroatividade</w:t>
      </w:r>
      <w:proofErr w:type="spellEnd"/>
      <w:r w:rsidR="009113A1">
        <w:rPr>
          <w:rFonts w:ascii="Bookman Old Style" w:hAnsi="Bookman Old Style"/>
          <w:color w:val="FF0000"/>
          <w:sz w:val="24"/>
          <w:szCs w:val="24"/>
        </w:rPr>
        <w:t xml:space="preserve"> do </w:t>
      </w:r>
      <w:r w:rsidR="00E16376">
        <w:rPr>
          <w:rFonts w:ascii="Bookman Old Style" w:hAnsi="Bookman Old Style"/>
          <w:color w:val="FF0000"/>
          <w:sz w:val="24"/>
          <w:szCs w:val="24"/>
        </w:rPr>
        <w:t xml:space="preserve">artigo 12.º/1 2ª parte. </w:t>
      </w:r>
    </w:p>
    <w:p w:rsidR="00E16376" w:rsidRDefault="00E16376" w:rsidP="00E16376">
      <w:pPr>
        <w:pStyle w:val="PargrafodaLista"/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E16376" w:rsidRDefault="00E16376" w:rsidP="00E16376">
      <w:pPr>
        <w:spacing w:line="360" w:lineRule="auto"/>
        <w:ind w:firstLine="36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E16376">
        <w:rPr>
          <w:rFonts w:ascii="Bookman Old Style" w:hAnsi="Bookman Old Style"/>
          <w:color w:val="FF0000"/>
          <w:sz w:val="24"/>
          <w:szCs w:val="24"/>
        </w:rPr>
        <w:t xml:space="preserve">Seguindo a primeira hipótese, M também não poderia candidatar-se pois, </w:t>
      </w:r>
      <w:r>
        <w:rPr>
          <w:rFonts w:ascii="Bookman Old Style" w:hAnsi="Bookman Old Style"/>
          <w:color w:val="FF0000"/>
          <w:sz w:val="24"/>
          <w:szCs w:val="24"/>
        </w:rPr>
        <w:t>uma vez que ainda não havia uma sentença judicial transitada em julgado que “aceitasse” a sua pretensão, era aplicável retroativamente ao seu caso a solução resultante da norma em exame.</w:t>
      </w:r>
    </w:p>
    <w:p w:rsidR="00E16376" w:rsidRDefault="00E16376" w:rsidP="00B44DFE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B44DFE" w:rsidRDefault="00B44DFE" w:rsidP="00B44DFE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NOTA – A matéria eleitoral autárquica na “vida real” é regulada por lei orgânica sendo que, só a AR pode aprovar leis orgânicas, legislando sobre as matérias que reclamam essa forma de lei, não o Governo. Ora, quando o Governo não pode legislar sobre uma matéria, também não pode fazer interpretação autêntica de um diploma da AR sobre a mesma. Esta não era, contudo, uma questão que o texto da hipótese e o aluno não tinha que conhecê-la em IED.</w:t>
      </w:r>
    </w:p>
    <w:p w:rsidR="00E16376" w:rsidRPr="00E16376" w:rsidRDefault="00E16376" w:rsidP="00E16376">
      <w:pPr>
        <w:spacing w:line="360" w:lineRule="auto"/>
        <w:ind w:firstLine="360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9113A1" w:rsidRDefault="009113A1" w:rsidP="0026681A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9113A1" w:rsidRDefault="009113A1" w:rsidP="0026681A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9113A1" w:rsidRPr="009113A1" w:rsidRDefault="009113A1" w:rsidP="0026681A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B95095" w:rsidRDefault="00B95095" w:rsidP="002668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95095" w:rsidRDefault="00B95095" w:rsidP="002668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6681A" w:rsidRPr="003C3669" w:rsidRDefault="0026681A" w:rsidP="0026681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26681A" w:rsidRPr="003C3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0C" w:rsidRDefault="0061450C" w:rsidP="00125B20">
      <w:pPr>
        <w:spacing w:after="0" w:line="240" w:lineRule="auto"/>
      </w:pPr>
      <w:r>
        <w:separator/>
      </w:r>
    </w:p>
  </w:endnote>
  <w:endnote w:type="continuationSeparator" w:id="0">
    <w:p w:rsidR="0061450C" w:rsidRDefault="0061450C" w:rsidP="0012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0C" w:rsidRDefault="0061450C" w:rsidP="00125B20">
      <w:pPr>
        <w:spacing w:after="0" w:line="240" w:lineRule="auto"/>
      </w:pPr>
      <w:r>
        <w:separator/>
      </w:r>
    </w:p>
  </w:footnote>
  <w:footnote w:type="continuationSeparator" w:id="0">
    <w:p w:rsidR="0061450C" w:rsidRDefault="0061450C" w:rsidP="00125B20">
      <w:pPr>
        <w:spacing w:after="0" w:line="240" w:lineRule="auto"/>
      </w:pPr>
      <w:r>
        <w:continuationSeparator/>
      </w:r>
    </w:p>
  </w:footnote>
  <w:footnote w:id="1">
    <w:p w:rsidR="00125B20" w:rsidRDefault="00125B20" w:rsidP="00A8579A">
      <w:pPr>
        <w:pStyle w:val="Textodenotaderodap"/>
        <w:ind w:firstLine="708"/>
      </w:pPr>
      <w:bookmarkStart w:id="0" w:name="_GoBack"/>
      <w:bookmarkEnd w:id="0"/>
      <w:r>
        <w:rPr>
          <w:rStyle w:val="Refdenotaderodap"/>
        </w:rPr>
        <w:footnoteRef/>
      </w:r>
      <w:r>
        <w:t xml:space="preserve"> Cf. </w:t>
      </w:r>
      <w:proofErr w:type="gramStart"/>
      <w:r>
        <w:t>artigo</w:t>
      </w:r>
      <w:proofErr w:type="gramEnd"/>
      <w:r>
        <w:t xml:space="preserve"> 20.º da Lei Orgânica n-º 1/2001, de 14 de Agosto.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D4B"/>
    <w:multiLevelType w:val="hybridMultilevel"/>
    <w:tmpl w:val="B2C25C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B4559"/>
    <w:multiLevelType w:val="hybridMultilevel"/>
    <w:tmpl w:val="36EC83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5824"/>
    <w:multiLevelType w:val="hybridMultilevel"/>
    <w:tmpl w:val="5FD048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E282F"/>
    <w:multiLevelType w:val="hybridMultilevel"/>
    <w:tmpl w:val="89BA2BB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C350A4"/>
    <w:multiLevelType w:val="hybridMultilevel"/>
    <w:tmpl w:val="8C40D9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69"/>
    <w:rsid w:val="00125B20"/>
    <w:rsid w:val="0026681A"/>
    <w:rsid w:val="00280D43"/>
    <w:rsid w:val="003C3669"/>
    <w:rsid w:val="00423455"/>
    <w:rsid w:val="0042737C"/>
    <w:rsid w:val="004A5242"/>
    <w:rsid w:val="004D6790"/>
    <w:rsid w:val="00563372"/>
    <w:rsid w:val="005C7B20"/>
    <w:rsid w:val="0061450C"/>
    <w:rsid w:val="00660AED"/>
    <w:rsid w:val="00832481"/>
    <w:rsid w:val="009113A1"/>
    <w:rsid w:val="00A14A44"/>
    <w:rsid w:val="00A8579A"/>
    <w:rsid w:val="00A94D0B"/>
    <w:rsid w:val="00AC4256"/>
    <w:rsid w:val="00AE3149"/>
    <w:rsid w:val="00B44DFE"/>
    <w:rsid w:val="00B95095"/>
    <w:rsid w:val="00BB40B2"/>
    <w:rsid w:val="00C9476A"/>
    <w:rsid w:val="00CF2AF4"/>
    <w:rsid w:val="00D82B15"/>
    <w:rsid w:val="00D8533E"/>
    <w:rsid w:val="00E16376"/>
    <w:rsid w:val="00F16259"/>
    <w:rsid w:val="00F923C8"/>
    <w:rsid w:val="00F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0D43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25B2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25B2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25B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0D43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125B2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125B2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25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113F-7CEB-4C82-8CFF-9342B678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1135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ARAC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Bernardes</dc:creator>
  <cp:keywords/>
  <dc:description/>
  <cp:lastModifiedBy>Ricardo Bernardes</cp:lastModifiedBy>
  <cp:revision>21</cp:revision>
  <dcterms:created xsi:type="dcterms:W3CDTF">2013-04-10T14:41:00Z</dcterms:created>
  <dcterms:modified xsi:type="dcterms:W3CDTF">2013-04-15T16:42:00Z</dcterms:modified>
</cp:coreProperties>
</file>