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59" w:rsidRPr="00654929" w:rsidRDefault="006A0A59" w:rsidP="004F55CE">
      <w:pPr>
        <w:spacing w:line="400" w:lineRule="atLeast"/>
        <w:ind w:firstLine="709"/>
        <w:jc w:val="center"/>
        <w:rPr>
          <w:rFonts w:ascii="Garamond" w:hAnsi="Garamond"/>
          <w:b/>
          <w:smallCaps/>
          <w:sz w:val="28"/>
          <w:szCs w:val="28"/>
        </w:rPr>
      </w:pPr>
      <w:r w:rsidRPr="00654929">
        <w:rPr>
          <w:rFonts w:ascii="Garamond" w:hAnsi="Garamond"/>
          <w:b/>
          <w:smallCaps/>
          <w:sz w:val="28"/>
          <w:szCs w:val="28"/>
        </w:rPr>
        <w:t xml:space="preserve">Tópicos para resolução de casos </w:t>
      </w:r>
      <w:r w:rsidR="005B745E" w:rsidRPr="00654929">
        <w:rPr>
          <w:rFonts w:ascii="Garamond" w:hAnsi="Garamond"/>
          <w:b/>
          <w:smallCaps/>
          <w:sz w:val="28"/>
          <w:szCs w:val="28"/>
        </w:rPr>
        <w:t>práticos</w:t>
      </w:r>
    </w:p>
    <w:p w:rsidR="006A0A59" w:rsidRPr="00654929" w:rsidRDefault="006A0A59" w:rsidP="004F55CE">
      <w:pPr>
        <w:spacing w:line="400" w:lineRule="atLeast"/>
        <w:ind w:firstLine="709"/>
        <w:jc w:val="center"/>
        <w:rPr>
          <w:rFonts w:ascii="Garamond" w:hAnsi="Garamond"/>
          <w:smallCaps/>
          <w:sz w:val="24"/>
          <w:szCs w:val="24"/>
        </w:rPr>
      </w:pPr>
      <w:r w:rsidRPr="00654929">
        <w:rPr>
          <w:rFonts w:ascii="Garamond" w:hAnsi="Garamond"/>
          <w:smallCaps/>
          <w:sz w:val="24"/>
          <w:szCs w:val="24"/>
        </w:rPr>
        <w:t>(em especial, sobre a interpretação)</w:t>
      </w:r>
    </w:p>
    <w:p w:rsidR="006A0A59" w:rsidRPr="00654929" w:rsidRDefault="006A0A59" w:rsidP="004F55CE">
      <w:pPr>
        <w:pStyle w:val="PargrafodaLista"/>
        <w:spacing w:line="400" w:lineRule="atLeast"/>
        <w:ind w:left="709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Analisar com atenção a situação, e identificar os aspectos factuais relevantes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Focar e analisar a disposição normativa que coloca dúvidas de interpretação quanto à norma que a mesma contém</w:t>
      </w:r>
      <w:r w:rsidR="00654929"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Analisar os conceitos jurídicos constantes da norma de forma a perceber, desde logo, se são </w:t>
      </w:r>
      <w:r w:rsidRPr="00654929">
        <w:rPr>
          <w:rFonts w:ascii="Garamond" w:hAnsi="Garamond"/>
          <w:i/>
          <w:sz w:val="24"/>
          <w:szCs w:val="24"/>
        </w:rPr>
        <w:t xml:space="preserve">precisos </w:t>
      </w:r>
      <w:r w:rsidRPr="00654929">
        <w:rPr>
          <w:rFonts w:ascii="Garamond" w:hAnsi="Garamond"/>
          <w:sz w:val="24"/>
          <w:szCs w:val="24"/>
        </w:rPr>
        <w:t xml:space="preserve">ou </w:t>
      </w:r>
      <w:r w:rsidRPr="00654929">
        <w:rPr>
          <w:rFonts w:ascii="Garamond" w:hAnsi="Garamond"/>
          <w:i/>
          <w:sz w:val="24"/>
          <w:szCs w:val="24"/>
        </w:rPr>
        <w:t>vagos</w:t>
      </w:r>
      <w:r w:rsidR="00654929" w:rsidRPr="00654929">
        <w:rPr>
          <w:rFonts w:ascii="Garamond" w:hAnsi="Garamond"/>
          <w:i/>
          <w:sz w:val="24"/>
          <w:szCs w:val="24"/>
        </w:rPr>
        <w:t>;</w:t>
      </w:r>
      <w:r w:rsidR="00654929" w:rsidRPr="00654929">
        <w:rPr>
          <w:rFonts w:ascii="Garamond" w:hAnsi="Garamond"/>
          <w:sz w:val="24"/>
          <w:szCs w:val="24"/>
        </w:rPr>
        <w:t xml:space="preserve"> </w:t>
      </w:r>
      <w:r w:rsidRPr="00654929">
        <w:rPr>
          <w:rFonts w:ascii="Garamond" w:hAnsi="Garamond"/>
          <w:sz w:val="24"/>
          <w:szCs w:val="24"/>
        </w:rPr>
        <w:t xml:space="preserve">caso </w:t>
      </w:r>
      <w:r w:rsidR="00E77911">
        <w:rPr>
          <w:rFonts w:ascii="Garamond" w:hAnsi="Garamond"/>
          <w:sz w:val="24"/>
          <w:szCs w:val="24"/>
        </w:rPr>
        <w:t>tenham alguma vagueza</w:t>
      </w:r>
      <w:r w:rsidRPr="00654929">
        <w:rPr>
          <w:rFonts w:ascii="Garamond" w:hAnsi="Garamond"/>
          <w:sz w:val="24"/>
          <w:szCs w:val="24"/>
        </w:rPr>
        <w:t xml:space="preserve">, perceber, </w:t>
      </w:r>
      <w:r w:rsidR="00E77911">
        <w:rPr>
          <w:rFonts w:ascii="Garamond" w:hAnsi="Garamond"/>
          <w:sz w:val="24"/>
          <w:szCs w:val="24"/>
        </w:rPr>
        <w:t xml:space="preserve">perceber se </w:t>
      </w:r>
      <w:r w:rsidRPr="00654929">
        <w:rPr>
          <w:rFonts w:ascii="Garamond" w:hAnsi="Garamond"/>
          <w:sz w:val="24"/>
          <w:szCs w:val="24"/>
        </w:rPr>
        <w:t xml:space="preserve">são </w:t>
      </w:r>
      <w:r w:rsidR="00E77911" w:rsidRPr="00E77911">
        <w:rPr>
          <w:rFonts w:ascii="Garamond" w:hAnsi="Garamond"/>
          <w:i/>
          <w:sz w:val="24"/>
          <w:szCs w:val="24"/>
        </w:rPr>
        <w:t>indeterminados</w:t>
      </w:r>
      <w:r w:rsidR="00E77911">
        <w:rPr>
          <w:rFonts w:ascii="Garamond" w:hAnsi="Garamond"/>
          <w:sz w:val="24"/>
          <w:szCs w:val="24"/>
        </w:rPr>
        <w:t xml:space="preserve"> ou</w:t>
      </w:r>
      <w:r w:rsidRPr="00654929">
        <w:rPr>
          <w:rFonts w:ascii="Garamond" w:hAnsi="Garamond"/>
          <w:sz w:val="24"/>
          <w:szCs w:val="24"/>
        </w:rPr>
        <w:t xml:space="preserve"> </w:t>
      </w:r>
      <w:r w:rsidRPr="00654929">
        <w:rPr>
          <w:rFonts w:ascii="Garamond" w:hAnsi="Garamond"/>
          <w:i/>
          <w:sz w:val="24"/>
          <w:szCs w:val="24"/>
        </w:rPr>
        <w:t>polissémicos</w:t>
      </w:r>
      <w:r w:rsidR="00E77911">
        <w:rPr>
          <w:rFonts w:ascii="Garamond" w:hAnsi="Garamond"/>
          <w:sz w:val="24"/>
          <w:szCs w:val="24"/>
        </w:rPr>
        <w:t>: à partida, no primeiro</w:t>
      </w:r>
      <w:r w:rsidRPr="00654929">
        <w:rPr>
          <w:rFonts w:ascii="Garamond" w:hAnsi="Garamond"/>
          <w:sz w:val="24"/>
          <w:szCs w:val="24"/>
        </w:rPr>
        <w:t xml:space="preserve"> caso, o resultado da interpretação será </w:t>
      </w:r>
      <w:r w:rsidRPr="00E77911">
        <w:rPr>
          <w:rFonts w:ascii="Garamond" w:hAnsi="Garamond"/>
          <w:sz w:val="24"/>
          <w:szCs w:val="24"/>
        </w:rPr>
        <w:t>declarativa lata</w:t>
      </w:r>
      <w:r w:rsidR="00E77911">
        <w:rPr>
          <w:rFonts w:ascii="Garamond" w:hAnsi="Garamond"/>
          <w:i/>
          <w:sz w:val="24"/>
          <w:szCs w:val="24"/>
        </w:rPr>
        <w:t xml:space="preserve"> média </w:t>
      </w:r>
      <w:r w:rsidR="00E77911" w:rsidRPr="00E77911">
        <w:rPr>
          <w:rFonts w:ascii="Garamond" w:hAnsi="Garamond"/>
          <w:sz w:val="24"/>
          <w:szCs w:val="24"/>
        </w:rPr>
        <w:t xml:space="preserve">(ex. conceito de </w:t>
      </w:r>
      <w:r w:rsidR="00E77911">
        <w:rPr>
          <w:rFonts w:ascii="Garamond" w:hAnsi="Garamond"/>
          <w:sz w:val="24"/>
          <w:szCs w:val="24"/>
        </w:rPr>
        <w:t>“</w:t>
      </w:r>
      <w:r w:rsidR="00E77911" w:rsidRPr="00E77911">
        <w:rPr>
          <w:rFonts w:ascii="Garamond" w:hAnsi="Garamond"/>
          <w:sz w:val="24"/>
          <w:szCs w:val="24"/>
        </w:rPr>
        <w:t>objecto contundente</w:t>
      </w:r>
      <w:r w:rsidR="00E77911">
        <w:rPr>
          <w:rFonts w:ascii="Garamond" w:hAnsi="Garamond"/>
          <w:sz w:val="24"/>
          <w:szCs w:val="24"/>
        </w:rPr>
        <w:t xml:space="preserve">”, pode abranger pedra, garrafa, pau…); no segundo, será declarativa </w:t>
      </w:r>
      <w:r w:rsidR="00E77911" w:rsidRPr="00E77911">
        <w:rPr>
          <w:rFonts w:ascii="Garamond" w:hAnsi="Garamond"/>
          <w:i/>
          <w:sz w:val="24"/>
          <w:szCs w:val="24"/>
        </w:rPr>
        <w:t>lata</w:t>
      </w:r>
      <w:r w:rsidR="00E77911">
        <w:rPr>
          <w:rFonts w:ascii="Garamond" w:hAnsi="Garamond"/>
          <w:sz w:val="24"/>
          <w:szCs w:val="24"/>
        </w:rPr>
        <w:t xml:space="preserve"> ou</w:t>
      </w:r>
      <w:r w:rsidRPr="00654929">
        <w:rPr>
          <w:rFonts w:ascii="Garamond" w:hAnsi="Garamond"/>
          <w:sz w:val="24"/>
          <w:szCs w:val="24"/>
        </w:rPr>
        <w:t xml:space="preserve"> </w:t>
      </w:r>
      <w:r w:rsidRPr="00654929">
        <w:rPr>
          <w:rFonts w:ascii="Garamond" w:hAnsi="Garamond"/>
          <w:i/>
          <w:sz w:val="24"/>
          <w:szCs w:val="24"/>
        </w:rPr>
        <w:t>restrita</w:t>
      </w:r>
      <w:r w:rsidRPr="00654929">
        <w:rPr>
          <w:rFonts w:ascii="Garamond" w:hAnsi="Garamond"/>
          <w:sz w:val="24"/>
          <w:szCs w:val="24"/>
        </w:rPr>
        <w:t xml:space="preserve"> </w:t>
      </w:r>
      <w:r w:rsidR="00654929" w:rsidRPr="00654929">
        <w:rPr>
          <w:rFonts w:ascii="Garamond" w:hAnsi="Garamond"/>
          <w:sz w:val="24"/>
          <w:szCs w:val="24"/>
        </w:rPr>
        <w:t>[</w:t>
      </w:r>
      <w:r w:rsidRPr="00654929">
        <w:rPr>
          <w:rFonts w:ascii="Garamond" w:hAnsi="Garamond"/>
          <w:i/>
          <w:sz w:val="24"/>
          <w:szCs w:val="24"/>
        </w:rPr>
        <w:t>v.g.</w:t>
      </w:r>
      <w:r w:rsidRPr="00654929">
        <w:rPr>
          <w:rFonts w:ascii="Garamond" w:hAnsi="Garamond"/>
          <w:sz w:val="24"/>
          <w:szCs w:val="24"/>
        </w:rPr>
        <w:t xml:space="preserve"> exemplo dos conceitos de </w:t>
      </w:r>
      <w:r w:rsidRPr="00654929">
        <w:rPr>
          <w:rFonts w:ascii="Garamond" w:hAnsi="Garamond"/>
          <w:i/>
          <w:sz w:val="24"/>
          <w:szCs w:val="24"/>
        </w:rPr>
        <w:t xml:space="preserve">culpa </w:t>
      </w:r>
      <w:r w:rsidRPr="00654929">
        <w:rPr>
          <w:rFonts w:ascii="Garamond" w:hAnsi="Garamond"/>
          <w:sz w:val="24"/>
          <w:szCs w:val="24"/>
        </w:rPr>
        <w:t xml:space="preserve">(que comporta dolo, negligência, etc.), </w:t>
      </w:r>
      <w:r w:rsidR="00654929" w:rsidRPr="00654929">
        <w:rPr>
          <w:rFonts w:ascii="Garamond" w:hAnsi="Garamond"/>
          <w:sz w:val="24"/>
          <w:szCs w:val="24"/>
        </w:rPr>
        <w:t xml:space="preserve">e </w:t>
      </w:r>
      <w:r w:rsidRPr="00654929">
        <w:rPr>
          <w:rFonts w:ascii="Garamond" w:hAnsi="Garamond"/>
          <w:i/>
          <w:sz w:val="24"/>
          <w:szCs w:val="24"/>
        </w:rPr>
        <w:t>hospital</w:t>
      </w:r>
      <w:r w:rsidRPr="00654929">
        <w:rPr>
          <w:rFonts w:ascii="Garamond" w:hAnsi="Garamond"/>
          <w:sz w:val="24"/>
          <w:szCs w:val="24"/>
        </w:rPr>
        <w:t xml:space="preserve"> (hospital, centros de saúde, unidades hospitalares, etc.)].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Analisar a eventual relevância, consoante o caso concreto, de ter em atenção as formas d</w:t>
      </w:r>
      <w:r w:rsidR="00654929" w:rsidRPr="00654929">
        <w:rPr>
          <w:rFonts w:ascii="Garamond" w:hAnsi="Garamond"/>
          <w:sz w:val="24"/>
          <w:szCs w:val="24"/>
        </w:rPr>
        <w:t>e interpretação [</w:t>
      </w:r>
      <w:r w:rsidRPr="00654929">
        <w:rPr>
          <w:rFonts w:ascii="Garamond" w:hAnsi="Garamond"/>
          <w:sz w:val="24"/>
          <w:szCs w:val="24"/>
        </w:rPr>
        <w:t>autêntica/</w:t>
      </w:r>
      <w:r w:rsidR="00654929" w:rsidRPr="00654929">
        <w:rPr>
          <w:rFonts w:ascii="Garamond" w:hAnsi="Garamond"/>
          <w:sz w:val="24"/>
          <w:szCs w:val="24"/>
        </w:rPr>
        <w:t xml:space="preserve">administrativa (ou </w:t>
      </w:r>
      <w:r w:rsidRPr="00654929">
        <w:rPr>
          <w:rFonts w:ascii="Garamond" w:hAnsi="Garamond"/>
          <w:sz w:val="24"/>
          <w:szCs w:val="24"/>
        </w:rPr>
        <w:t>oficial</w:t>
      </w:r>
      <w:r w:rsidR="00654929" w:rsidRPr="00654929">
        <w:rPr>
          <w:rFonts w:ascii="Garamond" w:hAnsi="Garamond"/>
          <w:sz w:val="24"/>
          <w:szCs w:val="24"/>
        </w:rPr>
        <w:t>); doutrinal (doutrina, jurisprudência)]</w:t>
      </w:r>
      <w:r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Partir de uma ou várias finalidades da interpretação objectivista, historicista, subjectivista, actualista (de notar que estas se entrecruzam); a objectivista tem, normalmente prevalência</w:t>
      </w:r>
      <w:r w:rsidR="00654929" w:rsidRPr="00654929">
        <w:rPr>
          <w:rFonts w:ascii="Garamond" w:hAnsi="Garamond"/>
          <w:sz w:val="24"/>
          <w:szCs w:val="24"/>
        </w:rPr>
        <w:t xml:space="preserve"> sobre as demais</w:t>
      </w:r>
      <w:r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Passar para os elementos (argumentos) da interpretação: literal, sistemático, histórico, teleológico.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Começar pelo elemento literal (letra da lei): recorrer à letra da disposição e tentar identificar a norma.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Recorrer aos demais elementos extra-literais (sistemático, histórico, teleológico); dar especial primazia ao teleológico: identificar logo a razão de ser da norma.</w:t>
      </w:r>
    </w:p>
    <w:p w:rsidR="00B54815" w:rsidRPr="00654929" w:rsidRDefault="00B54815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Cruzar</w:t>
      </w:r>
      <w:r w:rsidR="00654929" w:rsidRPr="00654929">
        <w:rPr>
          <w:rFonts w:ascii="Garamond" w:hAnsi="Garamond"/>
          <w:sz w:val="24"/>
          <w:szCs w:val="24"/>
        </w:rPr>
        <w:t>, se for o caso,</w:t>
      </w:r>
      <w:r w:rsidRPr="00654929">
        <w:rPr>
          <w:rFonts w:ascii="Garamond" w:hAnsi="Garamond"/>
          <w:sz w:val="24"/>
          <w:szCs w:val="24"/>
        </w:rPr>
        <w:t xml:space="preserve"> os elementos com as finalidades da interpretação e optar (ex. recorrer ao </w:t>
      </w:r>
      <w:r w:rsidRPr="00654929">
        <w:rPr>
          <w:rFonts w:ascii="Garamond" w:hAnsi="Garamond"/>
          <w:i/>
          <w:sz w:val="24"/>
          <w:szCs w:val="24"/>
        </w:rPr>
        <w:t>elemento literal</w:t>
      </w:r>
      <w:r w:rsidRPr="00654929">
        <w:rPr>
          <w:rFonts w:ascii="Garamond" w:hAnsi="Garamond"/>
          <w:sz w:val="24"/>
          <w:szCs w:val="24"/>
        </w:rPr>
        <w:t xml:space="preserve"> de um prisma actualista ou historicista; ao </w:t>
      </w:r>
      <w:r w:rsidRPr="00654929">
        <w:rPr>
          <w:rFonts w:ascii="Garamond" w:hAnsi="Garamond"/>
          <w:i/>
          <w:sz w:val="24"/>
          <w:szCs w:val="24"/>
        </w:rPr>
        <w:t>elemento histórico</w:t>
      </w:r>
      <w:r w:rsidRPr="00654929">
        <w:rPr>
          <w:rFonts w:ascii="Garamond" w:hAnsi="Garamond"/>
          <w:sz w:val="24"/>
          <w:szCs w:val="24"/>
        </w:rPr>
        <w:t xml:space="preserve"> de um prisma objectivista ou subjectivista; ao </w:t>
      </w:r>
      <w:r w:rsidRPr="00654929">
        <w:rPr>
          <w:rFonts w:ascii="Garamond" w:hAnsi="Garamond"/>
          <w:i/>
          <w:sz w:val="24"/>
          <w:szCs w:val="24"/>
        </w:rPr>
        <w:t>elemento sistemático</w:t>
      </w:r>
      <w:r w:rsidRPr="00654929">
        <w:rPr>
          <w:rFonts w:ascii="Garamond" w:hAnsi="Garamond"/>
          <w:sz w:val="24"/>
          <w:szCs w:val="24"/>
        </w:rPr>
        <w:t xml:space="preserve"> de um prisma actualista ou historicista; e ao </w:t>
      </w:r>
      <w:r w:rsidRPr="00654929">
        <w:rPr>
          <w:rFonts w:ascii="Garamond" w:hAnsi="Garamond"/>
          <w:i/>
          <w:sz w:val="24"/>
          <w:szCs w:val="24"/>
        </w:rPr>
        <w:t xml:space="preserve">teleológico </w:t>
      </w:r>
      <w:r w:rsidRPr="00654929">
        <w:rPr>
          <w:rFonts w:ascii="Garamond" w:hAnsi="Garamond"/>
          <w:sz w:val="24"/>
          <w:szCs w:val="24"/>
        </w:rPr>
        <w:t>de um prisma actualista ou historicista).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Depois, mesmo que não </w:t>
      </w:r>
      <w:r w:rsidR="00654929" w:rsidRPr="00654929">
        <w:rPr>
          <w:rFonts w:ascii="Garamond" w:hAnsi="Garamond" w:cs="Arial"/>
          <w:sz w:val="24"/>
          <w:szCs w:val="24"/>
          <w:shd w:val="clear" w:color="auto" w:fill="FFFFFF"/>
        </w:rPr>
        <w:t>existam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grandes dúvidas sobre a norma, partindo da letra da lei e analisados os elementos extra-literais, confirmamos (ou não) se a 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interpretação que fazemos da disposição é exactamente a que decorre, desde logo, da letra da lei. 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Se for a mesma coisa, chegamos a uma </w:t>
      </w:r>
      <w:r w:rsidRPr="00654929">
        <w:rPr>
          <w:rFonts w:ascii="Garamond" w:hAnsi="Garamond" w:cs="Arial"/>
          <w:i/>
          <w:sz w:val="24"/>
          <w:szCs w:val="24"/>
          <w:shd w:val="clear" w:color="auto" w:fill="FFFFFF"/>
        </w:rPr>
        <w:t>interpretação declarativa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(ainda que quando a norma contenha um termo polissémico, a interpretação possa ser declarativa lata, restrita ou média). 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t>Se os elementos extra-literais nos dizem que a norma diz</w:t>
      </w:r>
      <w:r w:rsidRPr="00654929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654929">
        <w:rPr>
          <w:rFonts w:ascii="Garamond" w:hAnsi="Garamond" w:cs="Arial"/>
          <w:sz w:val="24"/>
          <w:szCs w:val="24"/>
          <w:u w:val="single"/>
          <w:shd w:val="clear" w:color="auto" w:fill="FFFFFF"/>
        </w:rPr>
        <w:t>menos</w:t>
      </w:r>
      <w:r w:rsidRPr="00654929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ou </w:t>
      </w:r>
      <w:r w:rsidRPr="00654929">
        <w:rPr>
          <w:rFonts w:ascii="Garamond" w:hAnsi="Garamond" w:cs="Arial"/>
          <w:sz w:val="24"/>
          <w:szCs w:val="24"/>
          <w:u w:val="single"/>
          <w:shd w:val="clear" w:color="auto" w:fill="FFFFFF"/>
        </w:rPr>
        <w:t>mais</w:t>
      </w:r>
      <w:r w:rsidRPr="00654929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do que o que devia dizer, então chegamos a uma </w:t>
      </w:r>
      <w:r w:rsidRPr="00654929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interpretação </w:t>
      </w:r>
      <w:r w:rsidRPr="00654929">
        <w:rPr>
          <w:rFonts w:ascii="Garamond" w:hAnsi="Garamond" w:cs="Arial"/>
          <w:i/>
          <w:sz w:val="24"/>
          <w:szCs w:val="24"/>
          <w:u w:val="single"/>
          <w:shd w:val="clear" w:color="auto" w:fill="FFFFFF"/>
        </w:rPr>
        <w:t>extensiva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(abrangemos no âmbito da norma algo que à partida parecia estar excluído) ou </w:t>
      </w:r>
      <w:r w:rsidRPr="00654929">
        <w:rPr>
          <w:rFonts w:ascii="Garamond" w:hAnsi="Garamond" w:cs="Arial"/>
          <w:i/>
          <w:sz w:val="24"/>
          <w:szCs w:val="24"/>
          <w:u w:val="single"/>
          <w:shd w:val="clear" w:color="auto" w:fill="FFFFFF"/>
        </w:rPr>
        <w:t>restritiva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(excluímos do âmbito da norma algo que à partida poderia parecer estar abrangido).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t>Podemos não conseguir chegar a uma interpretação (</w:t>
      </w:r>
      <w:r w:rsidR="00654929"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* 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>os aspectos referidos a partir daqui não parecem sair para o teste)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Considerar, por um lado, as </w:t>
      </w:r>
      <w:proofErr w:type="gramStart"/>
      <w:r w:rsidRPr="00654929">
        <w:rPr>
          <w:rFonts w:ascii="Garamond" w:hAnsi="Garamond"/>
          <w:i/>
          <w:sz w:val="24"/>
          <w:szCs w:val="24"/>
        </w:rPr>
        <w:t>interpretações correctiva</w:t>
      </w:r>
      <w:proofErr w:type="gramEnd"/>
      <w:r w:rsidRPr="00654929">
        <w:rPr>
          <w:rFonts w:ascii="Garamond" w:hAnsi="Garamond"/>
          <w:sz w:val="24"/>
          <w:szCs w:val="24"/>
        </w:rPr>
        <w:t xml:space="preserve"> e </w:t>
      </w:r>
      <w:proofErr w:type="spellStart"/>
      <w:r w:rsidRPr="00654929">
        <w:rPr>
          <w:rFonts w:ascii="Garamond" w:hAnsi="Garamond"/>
          <w:i/>
          <w:sz w:val="24"/>
          <w:szCs w:val="24"/>
        </w:rPr>
        <w:t>abrogante</w:t>
      </w:r>
      <w:proofErr w:type="spellEnd"/>
      <w:r w:rsidRPr="00654929">
        <w:rPr>
          <w:rFonts w:ascii="Garamond" w:hAnsi="Garamond"/>
          <w:sz w:val="24"/>
          <w:szCs w:val="24"/>
        </w:rPr>
        <w:t xml:space="preserve"> (notar que </w:t>
      </w:r>
      <w:r w:rsidR="00654929" w:rsidRPr="00654929">
        <w:rPr>
          <w:rFonts w:ascii="Garamond" w:hAnsi="Garamond"/>
          <w:sz w:val="24"/>
          <w:szCs w:val="24"/>
        </w:rPr>
        <w:t>estas</w:t>
      </w:r>
      <w:r w:rsidRPr="00654929">
        <w:rPr>
          <w:rFonts w:ascii="Garamond" w:hAnsi="Garamond"/>
          <w:sz w:val="24"/>
          <w:szCs w:val="24"/>
        </w:rPr>
        <w:t xml:space="preserve"> </w:t>
      </w:r>
      <w:r w:rsidR="00654929" w:rsidRPr="00654929">
        <w:rPr>
          <w:rFonts w:ascii="Garamond" w:hAnsi="Garamond"/>
          <w:sz w:val="24"/>
          <w:szCs w:val="24"/>
        </w:rPr>
        <w:t>não são admissíveis</w:t>
      </w:r>
      <w:r w:rsidRPr="00654929">
        <w:rPr>
          <w:rFonts w:ascii="Garamond" w:hAnsi="Garamond"/>
          <w:sz w:val="24"/>
          <w:szCs w:val="24"/>
        </w:rPr>
        <w:t xml:space="preserve"> no nosso ordenamento)</w:t>
      </w:r>
      <w:r w:rsidR="00654929"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Considerar a possibilidade de desenvolvimento </w:t>
      </w:r>
      <w:r w:rsidRPr="00654929">
        <w:rPr>
          <w:rFonts w:ascii="Garamond" w:hAnsi="Garamond"/>
          <w:i/>
          <w:sz w:val="24"/>
          <w:szCs w:val="24"/>
          <w:u w:val="single"/>
        </w:rPr>
        <w:t>imanente</w:t>
      </w:r>
      <w:r w:rsidRPr="00654929">
        <w:rPr>
          <w:rFonts w:ascii="Garamond" w:hAnsi="Garamond"/>
          <w:sz w:val="24"/>
          <w:szCs w:val="24"/>
        </w:rPr>
        <w:t xml:space="preserve"> à lei</w:t>
      </w:r>
    </w:p>
    <w:p w:rsidR="006A0A59" w:rsidRPr="00654929" w:rsidRDefault="00654929" w:rsidP="004F55CE">
      <w:pPr>
        <w:pStyle w:val="PargrafodaLista"/>
        <w:numPr>
          <w:ilvl w:val="0"/>
          <w:numId w:val="3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654929">
        <w:rPr>
          <w:rFonts w:ascii="Garamond" w:hAnsi="Garamond"/>
          <w:sz w:val="24"/>
          <w:szCs w:val="24"/>
        </w:rPr>
        <w:t>temos</w:t>
      </w:r>
      <w:proofErr w:type="gramEnd"/>
      <w:r w:rsidR="006A0A59" w:rsidRPr="00654929">
        <w:rPr>
          <w:rFonts w:ascii="Garamond" w:hAnsi="Garamond"/>
          <w:sz w:val="24"/>
          <w:szCs w:val="24"/>
        </w:rPr>
        <w:t xml:space="preserve"> uma lacuna </w:t>
      </w:r>
      <w:r w:rsidRPr="00654929">
        <w:rPr>
          <w:rFonts w:ascii="Garamond" w:hAnsi="Garamond"/>
          <w:sz w:val="24"/>
          <w:szCs w:val="24"/>
        </w:rPr>
        <w:t xml:space="preserve">(contrária ao plano da lei), pelo que temos de a integrar: </w:t>
      </w:r>
      <w:r w:rsidR="006A0A59" w:rsidRPr="00654929">
        <w:rPr>
          <w:rFonts w:ascii="Garamond" w:hAnsi="Garamond"/>
          <w:sz w:val="24"/>
          <w:szCs w:val="24"/>
        </w:rPr>
        <w:t xml:space="preserve">recorrer à </w:t>
      </w:r>
      <w:r w:rsidR="006A0A59" w:rsidRPr="00654929">
        <w:rPr>
          <w:rFonts w:ascii="Garamond" w:hAnsi="Garamond"/>
          <w:i/>
          <w:sz w:val="24"/>
          <w:szCs w:val="24"/>
        </w:rPr>
        <w:t>analogia</w:t>
      </w:r>
      <w:r w:rsidR="006A0A59" w:rsidRPr="00654929">
        <w:rPr>
          <w:rFonts w:ascii="Garamond" w:hAnsi="Garamond"/>
          <w:sz w:val="24"/>
          <w:szCs w:val="24"/>
        </w:rPr>
        <w:t>;</w:t>
      </w:r>
    </w:p>
    <w:p w:rsidR="006A0A59" w:rsidRPr="00654929" w:rsidRDefault="006A0A59" w:rsidP="004F55CE">
      <w:pPr>
        <w:pStyle w:val="PargrafodaLista"/>
        <w:numPr>
          <w:ilvl w:val="0"/>
          <w:numId w:val="3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654929">
        <w:rPr>
          <w:rFonts w:ascii="Garamond" w:hAnsi="Garamond"/>
          <w:sz w:val="24"/>
          <w:szCs w:val="24"/>
        </w:rPr>
        <w:t>necessidade</w:t>
      </w:r>
      <w:proofErr w:type="gramEnd"/>
      <w:r w:rsidRPr="00654929">
        <w:rPr>
          <w:rFonts w:ascii="Garamond" w:hAnsi="Garamond"/>
          <w:sz w:val="24"/>
          <w:szCs w:val="24"/>
        </w:rPr>
        <w:t xml:space="preserve"> de ir para além da letra da lei, ou reduzir tal letra, ainda no âmbito do espírito dessa mesma lei (</w:t>
      </w:r>
      <w:r w:rsidRPr="00654929">
        <w:rPr>
          <w:rFonts w:ascii="Garamond" w:hAnsi="Garamond"/>
          <w:i/>
          <w:sz w:val="24"/>
          <w:szCs w:val="24"/>
        </w:rPr>
        <w:t>extensão</w:t>
      </w:r>
      <w:r w:rsidRPr="00654929">
        <w:rPr>
          <w:rFonts w:ascii="Garamond" w:hAnsi="Garamond"/>
          <w:sz w:val="24"/>
          <w:szCs w:val="24"/>
        </w:rPr>
        <w:t xml:space="preserve"> e </w:t>
      </w:r>
      <w:r w:rsidRPr="00654929">
        <w:rPr>
          <w:rFonts w:ascii="Garamond" w:hAnsi="Garamond"/>
          <w:i/>
          <w:sz w:val="24"/>
          <w:szCs w:val="24"/>
        </w:rPr>
        <w:t>redução teleológicas</w:t>
      </w:r>
      <w:r w:rsidRPr="00654929">
        <w:rPr>
          <w:rFonts w:ascii="Garamond" w:hAnsi="Garamond"/>
          <w:sz w:val="24"/>
          <w:szCs w:val="24"/>
        </w:rPr>
        <w:t>)</w:t>
      </w:r>
      <w:r w:rsid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Considerar a possibilidade ainda mais extrema de desenvolvimento judicial </w:t>
      </w:r>
      <w:r w:rsidRPr="00654929">
        <w:rPr>
          <w:rFonts w:ascii="Garamond" w:hAnsi="Garamond"/>
          <w:i/>
          <w:sz w:val="24"/>
          <w:szCs w:val="24"/>
          <w:u w:val="single"/>
        </w:rPr>
        <w:t>superador</w:t>
      </w:r>
      <w:r w:rsidRPr="00654929">
        <w:rPr>
          <w:rFonts w:ascii="Garamond" w:hAnsi="Garamond"/>
          <w:i/>
          <w:sz w:val="24"/>
          <w:szCs w:val="24"/>
        </w:rPr>
        <w:t xml:space="preserve"> </w:t>
      </w:r>
      <w:r w:rsidRPr="00654929">
        <w:rPr>
          <w:rFonts w:ascii="Garamond" w:hAnsi="Garamond"/>
          <w:sz w:val="24"/>
          <w:szCs w:val="24"/>
        </w:rPr>
        <w:t xml:space="preserve">da lei (ainda que </w:t>
      </w:r>
      <w:proofErr w:type="spellStart"/>
      <w:r w:rsidRPr="00654929">
        <w:rPr>
          <w:rFonts w:ascii="Garamond" w:hAnsi="Garamond"/>
          <w:i/>
          <w:sz w:val="24"/>
          <w:szCs w:val="24"/>
        </w:rPr>
        <w:t>intra</w:t>
      </w:r>
      <w:proofErr w:type="spellEnd"/>
      <w:r w:rsidRPr="00654929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654929">
        <w:rPr>
          <w:rFonts w:ascii="Garamond" w:hAnsi="Garamond"/>
          <w:i/>
          <w:sz w:val="24"/>
          <w:szCs w:val="24"/>
        </w:rPr>
        <w:t>ius</w:t>
      </w:r>
      <w:proofErr w:type="spellEnd"/>
      <w:r w:rsidRPr="00654929">
        <w:rPr>
          <w:rFonts w:ascii="Garamond" w:hAnsi="Garamond"/>
          <w:sz w:val="24"/>
          <w:szCs w:val="24"/>
        </w:rPr>
        <w:t>, dentro do ordenamento j.)</w:t>
      </w:r>
    </w:p>
    <w:p w:rsidR="006A0A59" w:rsidRPr="00654929" w:rsidRDefault="006A0A59" w:rsidP="004F55CE">
      <w:pPr>
        <w:pStyle w:val="PargrafodaLista"/>
        <w:numPr>
          <w:ilvl w:val="0"/>
          <w:numId w:val="4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Possibilidade de recurso a princípios do sistema jurídico, como o p. da justiça, da </w:t>
      </w:r>
      <w:proofErr w:type="gramStart"/>
      <w:r w:rsidRPr="00654929">
        <w:rPr>
          <w:rFonts w:ascii="Garamond" w:hAnsi="Garamond"/>
          <w:sz w:val="24"/>
          <w:szCs w:val="24"/>
        </w:rPr>
        <w:t>boa fé</w:t>
      </w:r>
      <w:proofErr w:type="gramEnd"/>
      <w:r w:rsidRPr="00654929">
        <w:rPr>
          <w:rFonts w:ascii="Garamond" w:hAnsi="Garamond"/>
          <w:sz w:val="24"/>
          <w:szCs w:val="24"/>
        </w:rPr>
        <w:t>, confiança, etc.; efectuar ponderação</w:t>
      </w:r>
      <w:r w:rsidR="00654929">
        <w:rPr>
          <w:rFonts w:ascii="Garamond" w:hAnsi="Garamond"/>
          <w:sz w:val="24"/>
          <w:szCs w:val="24"/>
        </w:rPr>
        <w:t xml:space="preserve"> de bens;</w:t>
      </w:r>
    </w:p>
    <w:p w:rsidR="006A0A59" w:rsidRPr="00654929" w:rsidRDefault="006A0A59" w:rsidP="004F55CE">
      <w:pPr>
        <w:pStyle w:val="PargrafodaLista"/>
        <w:numPr>
          <w:ilvl w:val="0"/>
          <w:numId w:val="4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Possibilidade de o juiz, caso não possa recorrer a princípios ou a analogia, resolver o caso de acordo com “</w:t>
      </w:r>
      <w:r w:rsidRPr="00654929">
        <w:rPr>
          <w:rFonts w:ascii="Garamond" w:hAnsi="Garamond"/>
          <w:i/>
          <w:sz w:val="24"/>
          <w:szCs w:val="24"/>
        </w:rPr>
        <w:t>norma que o próprio intérprete criaria, se houvesse de legislar dentro do espírito do sistema</w:t>
      </w:r>
      <w:r w:rsidRPr="00654929">
        <w:rPr>
          <w:rFonts w:ascii="Garamond" w:hAnsi="Garamond"/>
          <w:sz w:val="24"/>
          <w:szCs w:val="24"/>
        </w:rPr>
        <w:t xml:space="preserve">” (o </w:t>
      </w:r>
      <w:r w:rsidR="00654929">
        <w:rPr>
          <w:rFonts w:ascii="Garamond" w:hAnsi="Garamond"/>
          <w:sz w:val="24"/>
          <w:szCs w:val="24"/>
        </w:rPr>
        <w:t>“</w:t>
      </w:r>
      <w:r w:rsidRPr="00654929">
        <w:rPr>
          <w:rFonts w:ascii="Garamond" w:hAnsi="Garamond"/>
          <w:sz w:val="24"/>
          <w:szCs w:val="24"/>
        </w:rPr>
        <w:t>intérprete criaria</w:t>
      </w:r>
      <w:r w:rsidR="00654929">
        <w:rPr>
          <w:rFonts w:ascii="Garamond" w:hAnsi="Garamond"/>
          <w:sz w:val="24"/>
          <w:szCs w:val="24"/>
        </w:rPr>
        <w:t>”</w:t>
      </w:r>
      <w:r w:rsidRPr="00654929">
        <w:rPr>
          <w:rFonts w:ascii="Garamond" w:hAnsi="Garamond"/>
          <w:sz w:val="24"/>
          <w:szCs w:val="24"/>
        </w:rPr>
        <w:t>, mas do prisma do legislador).</w:t>
      </w:r>
    </w:p>
    <w:p w:rsidR="006A0A5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Não esquecer de </w:t>
      </w:r>
      <w:r w:rsidR="00DD2747" w:rsidRPr="00654929">
        <w:rPr>
          <w:rFonts w:ascii="Garamond" w:hAnsi="Garamond"/>
          <w:i/>
          <w:sz w:val="24"/>
          <w:szCs w:val="24"/>
        </w:rPr>
        <w:t>(i)</w:t>
      </w:r>
      <w:r w:rsidR="00DD2747" w:rsidRPr="00654929">
        <w:rPr>
          <w:rFonts w:ascii="Garamond" w:hAnsi="Garamond"/>
          <w:sz w:val="24"/>
          <w:szCs w:val="24"/>
        </w:rPr>
        <w:t xml:space="preserve"> </w:t>
      </w:r>
      <w:r w:rsidRPr="00654929">
        <w:rPr>
          <w:rFonts w:ascii="Garamond" w:hAnsi="Garamond"/>
          <w:sz w:val="24"/>
          <w:szCs w:val="24"/>
        </w:rPr>
        <w:t xml:space="preserve">definir sucintamente os conceitos utilizados na resolução dos casos, como forma de demonstração de conhecimento [ex. recorrendo ao elemento teleológico, que diz respeito à razão de ser da lei, considero que no presente caso tenho de fazer uma interpretação restritiva (aquela em que o resultado da interpretação é mais restrito que o significado literal da </w:t>
      </w:r>
      <w:proofErr w:type="gramStart"/>
      <w:r w:rsidRPr="00654929">
        <w:rPr>
          <w:rFonts w:ascii="Garamond" w:hAnsi="Garamond"/>
          <w:sz w:val="24"/>
          <w:szCs w:val="24"/>
        </w:rPr>
        <w:t>lei)</w:t>
      </w:r>
      <w:proofErr w:type="gramEnd"/>
      <w:r w:rsidRPr="00654929">
        <w:rPr>
          <w:rFonts w:ascii="Garamond" w:hAnsi="Garamond"/>
          <w:sz w:val="24"/>
          <w:szCs w:val="24"/>
        </w:rPr>
        <w:t>…]</w:t>
      </w:r>
      <w:r w:rsidR="00DD2747" w:rsidRPr="00654929">
        <w:rPr>
          <w:rFonts w:ascii="Garamond" w:hAnsi="Garamond"/>
          <w:sz w:val="24"/>
          <w:szCs w:val="24"/>
        </w:rPr>
        <w:t xml:space="preserve">; </w:t>
      </w:r>
      <w:r w:rsidR="00DD2747" w:rsidRPr="00654929">
        <w:rPr>
          <w:rFonts w:ascii="Garamond" w:hAnsi="Garamond"/>
          <w:i/>
          <w:sz w:val="24"/>
          <w:szCs w:val="24"/>
        </w:rPr>
        <w:t>(ii)</w:t>
      </w:r>
      <w:r w:rsidR="00DD2747" w:rsidRPr="00654929">
        <w:rPr>
          <w:rFonts w:ascii="Garamond" w:hAnsi="Garamond"/>
          <w:sz w:val="24"/>
          <w:szCs w:val="24"/>
        </w:rPr>
        <w:t xml:space="preserve"> citar a norma respectiva do Código Civil (ex. de acordo com o elemento teleológico [que consiste na razão de ser da lei, e que é admitido no art. 9.º/1 do </w:t>
      </w:r>
      <w:proofErr w:type="gramStart"/>
      <w:r w:rsidR="00DD2747" w:rsidRPr="00654929">
        <w:rPr>
          <w:rFonts w:ascii="Garamond" w:hAnsi="Garamond"/>
          <w:sz w:val="24"/>
          <w:szCs w:val="24"/>
        </w:rPr>
        <w:t>CC)</w:t>
      </w:r>
      <w:proofErr w:type="gramEnd"/>
      <w:r w:rsidR="00DD2747" w:rsidRPr="00654929">
        <w:rPr>
          <w:rFonts w:ascii="Garamond" w:hAnsi="Garamond"/>
          <w:sz w:val="24"/>
          <w:szCs w:val="24"/>
        </w:rPr>
        <w:t>…]</w:t>
      </w:r>
      <w:r w:rsidR="00654929">
        <w:rPr>
          <w:rFonts w:ascii="Garamond" w:hAnsi="Garamond"/>
          <w:sz w:val="24"/>
          <w:szCs w:val="24"/>
        </w:rPr>
        <w:t>.</w:t>
      </w:r>
    </w:p>
    <w:p w:rsidR="00654929" w:rsidRDefault="00654929" w:rsidP="00654929">
      <w:pPr>
        <w:pStyle w:val="PargrafodaLista"/>
        <w:spacing w:line="40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654929" w:rsidRDefault="00654929" w:rsidP="00654929">
      <w:pPr>
        <w:pStyle w:val="PargrafodaLista"/>
        <w:spacing w:line="40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724641" w:rsidRPr="00654929" w:rsidRDefault="00654929" w:rsidP="00654929">
      <w:pPr>
        <w:pStyle w:val="PargrafodaLista"/>
        <w:spacing w:line="400" w:lineRule="atLeast"/>
        <w:ind w:left="709"/>
        <w:jc w:val="right"/>
        <w:rPr>
          <w:rFonts w:ascii="Garamond" w:hAnsi="Garamond"/>
          <w:smallCaps/>
          <w:sz w:val="24"/>
          <w:szCs w:val="24"/>
        </w:rPr>
      </w:pPr>
      <w:r w:rsidRPr="00654929">
        <w:rPr>
          <w:rFonts w:ascii="Garamond" w:hAnsi="Garamond"/>
          <w:smallCaps/>
          <w:sz w:val="24"/>
          <w:szCs w:val="24"/>
        </w:rPr>
        <w:t>Jorge Silva Sampaio</w:t>
      </w:r>
    </w:p>
    <w:sectPr w:rsidR="00724641" w:rsidRPr="00654929" w:rsidSect="00724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21B"/>
    <w:multiLevelType w:val="hybridMultilevel"/>
    <w:tmpl w:val="CA94038C"/>
    <w:lvl w:ilvl="0" w:tplc="0816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E7115F3"/>
    <w:multiLevelType w:val="hybridMultilevel"/>
    <w:tmpl w:val="16A6530C"/>
    <w:lvl w:ilvl="0" w:tplc="081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AF62A6"/>
    <w:multiLevelType w:val="hybridMultilevel"/>
    <w:tmpl w:val="2FD4300E"/>
    <w:lvl w:ilvl="0" w:tplc="96ACCF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D556B3"/>
    <w:multiLevelType w:val="hybridMultilevel"/>
    <w:tmpl w:val="D87CC6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9"/>
    <w:rsid w:val="00413532"/>
    <w:rsid w:val="004E1BE8"/>
    <w:rsid w:val="004F55CE"/>
    <w:rsid w:val="005B745E"/>
    <w:rsid w:val="00654929"/>
    <w:rsid w:val="006A0A59"/>
    <w:rsid w:val="00717335"/>
    <w:rsid w:val="00724641"/>
    <w:rsid w:val="00A60931"/>
    <w:rsid w:val="00B54815"/>
    <w:rsid w:val="00C23CA3"/>
    <w:rsid w:val="00DD2747"/>
    <w:rsid w:val="00E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0A5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A0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0A5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A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152831</cp:lastModifiedBy>
  <cp:revision>2</cp:revision>
  <dcterms:created xsi:type="dcterms:W3CDTF">2013-10-11T22:57:00Z</dcterms:created>
  <dcterms:modified xsi:type="dcterms:W3CDTF">2013-10-11T22:57:00Z</dcterms:modified>
</cp:coreProperties>
</file>