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E5" w:rsidRDefault="00097F87" w:rsidP="00097F87">
      <w:pPr>
        <w:spacing w:after="0" w:line="240" w:lineRule="auto"/>
        <w:jc w:val="both"/>
        <w:rPr>
          <w:b/>
        </w:rPr>
      </w:pPr>
      <w:r>
        <w:rPr>
          <w:b/>
        </w:rPr>
        <w:t>303. Regras especiais</w:t>
      </w:r>
    </w:p>
    <w:p w:rsidR="00097F87" w:rsidRDefault="00097F87" w:rsidP="00097F87">
      <w:pPr>
        <w:spacing w:after="0" w:line="240" w:lineRule="auto"/>
        <w:jc w:val="both"/>
      </w:pPr>
      <w:r>
        <w:t xml:space="preserve">- Uma regra é especial em relação a outra quando, sem contrariar substancialmente o princípio </w:t>
      </w:r>
      <w:proofErr w:type="gramStart"/>
      <w:r>
        <w:t>naquela contido</w:t>
      </w:r>
      <w:proofErr w:type="gramEnd"/>
      <w:r>
        <w:t>, a adapta a um domínio particular (de um ramo do direito, de institutos jurídicos ou de disposições particulares)</w:t>
      </w:r>
    </w:p>
    <w:p w:rsidR="00097F87" w:rsidRDefault="00097F87" w:rsidP="00097F87">
      <w:pPr>
        <w:spacing w:after="0" w:line="240" w:lineRule="auto"/>
        <w:jc w:val="both"/>
      </w:pPr>
      <w:proofErr w:type="gramStart"/>
      <w:r w:rsidRPr="00097F87">
        <w:rPr>
          <w:highlight w:val="cyan"/>
        </w:rPr>
        <w:t>Ex.</w:t>
      </w:r>
      <w:proofErr w:type="gramEnd"/>
      <w:r w:rsidRPr="00097F87">
        <w:rPr>
          <w:highlight w:val="cyan"/>
        </w:rPr>
        <w:t>:</w:t>
      </w:r>
      <w:r>
        <w:t xml:space="preserve"> o Direito Comercial adapta o Direito Civil à vida comercial, especializando-o de harmonia com as necessidades desta (não é</w:t>
      </w:r>
      <w:r>
        <w:rPr>
          <w:i/>
        </w:rPr>
        <w:t xml:space="preserve"> excepcional, </w:t>
      </w:r>
      <w:r>
        <w:t>uma vez que a adaptação se faz por concretização e não por negação dos princípios do Direito Civil)</w:t>
      </w:r>
    </w:p>
    <w:p w:rsidR="00097F87" w:rsidRDefault="00097F87" w:rsidP="00097F87">
      <w:pPr>
        <w:spacing w:after="0" w:line="240" w:lineRule="auto"/>
        <w:jc w:val="both"/>
      </w:pPr>
      <w:r>
        <w:t xml:space="preserve">- </w:t>
      </w:r>
      <w:r>
        <w:rPr>
          <w:i/>
        </w:rPr>
        <w:t xml:space="preserve">Institutos jurídicos </w:t>
      </w:r>
      <w:r>
        <w:t>e</w:t>
      </w:r>
      <w:r>
        <w:rPr>
          <w:i/>
        </w:rPr>
        <w:t xml:space="preserve"> disposições particulares</w:t>
      </w:r>
      <w:r>
        <w:t>: os trâmites estão regulados de maneira uniforme seja qual for o objecto da acção, realizando-se uma adaptação nos termos do processo de forma a corresponder mais adequadamente ao objecto do litígio</w:t>
      </w:r>
    </w:p>
    <w:p w:rsidR="00097F87" w:rsidRDefault="00097F87" w:rsidP="00097F87">
      <w:pPr>
        <w:spacing w:after="0" w:line="240" w:lineRule="auto"/>
        <w:jc w:val="both"/>
      </w:pPr>
    </w:p>
    <w:p w:rsidR="00097F87" w:rsidRDefault="00097F87" w:rsidP="00097F87">
      <w:pPr>
        <w:spacing w:after="0" w:line="240" w:lineRule="auto"/>
        <w:jc w:val="both"/>
        <w:rPr>
          <w:b/>
        </w:rPr>
      </w:pPr>
      <w:r>
        <w:rPr>
          <w:b/>
        </w:rPr>
        <w:t>307. Lei geral não revoga lei especial</w:t>
      </w:r>
    </w:p>
    <w:p w:rsidR="00097F87" w:rsidRDefault="00097F87" w:rsidP="00097F87">
      <w:pPr>
        <w:spacing w:after="0" w:line="240" w:lineRule="auto"/>
        <w:jc w:val="both"/>
      </w:pPr>
      <w:r>
        <w:t xml:space="preserve">- A lei especial pode ser compatível com a lei geral: adiciona uma nova consequência jurídica ao regime anterior, sem haver contradição </w:t>
      </w:r>
    </w:p>
    <w:p w:rsidR="00097F87" w:rsidRDefault="00097F87" w:rsidP="00097F87">
      <w:pPr>
        <w:spacing w:after="0" w:line="240" w:lineRule="auto"/>
        <w:jc w:val="both"/>
      </w:pPr>
      <w:r>
        <w:t>- Pode entender-se que, por a lei geral ser mais extensa, revoga a lei especial, no entanto o regime geral não toma conta das circunstâncias particulares que justificam a emissão da lei especial (a modificação da lei geral não afecta a lei especial)</w:t>
      </w:r>
    </w:p>
    <w:p w:rsidR="00097F87" w:rsidRDefault="00097F87" w:rsidP="00097F87">
      <w:pPr>
        <w:spacing w:after="0" w:line="240" w:lineRule="auto"/>
        <w:jc w:val="both"/>
      </w:pPr>
    </w:p>
    <w:p w:rsidR="00097F87" w:rsidRDefault="00097F87" w:rsidP="00097F87">
      <w:pPr>
        <w:spacing w:after="0" w:line="240" w:lineRule="auto"/>
        <w:jc w:val="both"/>
      </w:pPr>
      <w:r>
        <w:t xml:space="preserve">- A lei geral nova pode afastar a lei especial antiga – a lei nova pode ter por objectivo pôr termo a regimes especiais antigos que deixaram de se justificar </w:t>
      </w:r>
    </w:p>
    <w:p w:rsidR="00097F87" w:rsidRDefault="00097F87" w:rsidP="00097F87">
      <w:pPr>
        <w:spacing w:after="0" w:line="240" w:lineRule="auto"/>
        <w:jc w:val="both"/>
      </w:pPr>
      <w:r>
        <w:t xml:space="preserve">- A revogação de fontes especiais pode surgir por urgência da solução ou pelo facto do seu conteúdo não se justificar por necessidades próprias desse sector (não merece subsistir como lei especial) </w:t>
      </w:r>
    </w:p>
    <w:p w:rsidR="00097F87" w:rsidRDefault="00097F87" w:rsidP="00097F87">
      <w:pPr>
        <w:spacing w:after="0" w:line="240" w:lineRule="auto"/>
        <w:jc w:val="both"/>
      </w:pPr>
      <w:r>
        <w:t xml:space="preserve">- O legislador por aproveitar a oportunidade da aprovação da lei especial para integrar nela princípios que se justificavam em toda a ordem jurídica – neste caso, à especialidade formal não corresponde especialidade substancial </w:t>
      </w:r>
      <w:r w:rsidR="00C73843">
        <w:t>(se a lei geral for alterada e trouxer solução contrária, afasta também a solução formalmente incluída na lei especial)</w:t>
      </w:r>
    </w:p>
    <w:p w:rsidR="00C73843" w:rsidRDefault="00C73843" w:rsidP="00097F87">
      <w:pPr>
        <w:spacing w:after="0" w:line="240" w:lineRule="auto"/>
        <w:jc w:val="both"/>
      </w:pPr>
      <w:r>
        <w:t>- Se o regime especial é justificado por considerações próprias desse sector, ele é insensível à alteração da lei geral</w:t>
      </w:r>
    </w:p>
    <w:p w:rsidR="00C73843" w:rsidRDefault="00C73843" w:rsidP="00097F87">
      <w:pPr>
        <w:spacing w:after="0" w:line="240" w:lineRule="auto"/>
        <w:jc w:val="both"/>
      </w:pPr>
      <w:r>
        <w:t xml:space="preserve">- Se o regime especial não é justificado por considerações próprias desse sector, ele é atingido pela alteração da lei geral </w:t>
      </w:r>
    </w:p>
    <w:p w:rsidR="00C73843" w:rsidRDefault="00C73843" w:rsidP="00097F87">
      <w:pPr>
        <w:spacing w:after="0" w:line="240" w:lineRule="auto"/>
        <w:jc w:val="both"/>
      </w:pPr>
    </w:p>
    <w:p w:rsidR="00C73843" w:rsidRDefault="00C73843" w:rsidP="00097F87">
      <w:pPr>
        <w:spacing w:after="0" w:line="240" w:lineRule="auto"/>
        <w:jc w:val="both"/>
      </w:pPr>
      <w:r>
        <w:t xml:space="preserve">- A lei especial </w:t>
      </w:r>
      <w:r w:rsidRPr="00C73843">
        <w:rPr>
          <w:u w:val="single"/>
        </w:rPr>
        <w:t>nunca pode revogar</w:t>
      </w:r>
      <w:r>
        <w:t xml:space="preserve"> a lei geral, mas a lei geral posterior </w:t>
      </w:r>
      <w:r w:rsidRPr="00C73843">
        <w:rPr>
          <w:u w:val="single"/>
        </w:rPr>
        <w:t>pode derrogar</w:t>
      </w:r>
      <w:r>
        <w:t xml:space="preserve"> a lei geral </w:t>
      </w:r>
    </w:p>
    <w:p w:rsidR="00C73843" w:rsidRDefault="00C73843" w:rsidP="00097F87">
      <w:pPr>
        <w:spacing w:after="0" w:line="240" w:lineRule="auto"/>
        <w:jc w:val="both"/>
      </w:pPr>
    </w:p>
    <w:p w:rsidR="00C73843" w:rsidRDefault="00C73843" w:rsidP="00097F87">
      <w:pPr>
        <w:spacing w:after="0" w:line="240" w:lineRule="auto"/>
        <w:jc w:val="both"/>
        <w:rPr>
          <w:b/>
        </w:rPr>
      </w:pPr>
      <w:r>
        <w:rPr>
          <w:b/>
        </w:rPr>
        <w:t>337. Sentido da expressão “hierarquia das fontes”</w:t>
      </w:r>
    </w:p>
    <w:p w:rsidR="00C73843" w:rsidRDefault="00C73843" w:rsidP="00097F87">
      <w:pPr>
        <w:spacing w:after="0" w:line="240" w:lineRule="auto"/>
        <w:jc w:val="both"/>
      </w:pPr>
      <w:r>
        <w:t xml:space="preserve">- Modo de formação ou modo de revelação de regras jurídicas </w:t>
      </w:r>
    </w:p>
    <w:p w:rsidR="005C7060" w:rsidRDefault="005C7060" w:rsidP="00097F87">
      <w:pPr>
        <w:spacing w:after="0" w:line="240" w:lineRule="auto"/>
        <w:jc w:val="both"/>
      </w:pPr>
      <w:r>
        <w:t>- Modos de formação: factos normativos que estão na origem de todas as normas (a norma jurídica, como realidade histórica, tem uma génese)</w:t>
      </w:r>
    </w:p>
    <w:p w:rsidR="005C7060" w:rsidRDefault="005C7060" w:rsidP="00097F87">
      <w:pPr>
        <w:spacing w:after="0" w:line="240" w:lineRule="auto"/>
        <w:jc w:val="both"/>
      </w:pPr>
    </w:p>
    <w:p w:rsidR="005C7060" w:rsidRDefault="005C7060" w:rsidP="00097F87">
      <w:pPr>
        <w:spacing w:after="0" w:line="240" w:lineRule="auto"/>
        <w:jc w:val="both"/>
      </w:pPr>
      <w:r>
        <w:t xml:space="preserve">- Uma produção normativa de certo tipo não pode relevar para a ordem jurídica se </w:t>
      </w:r>
      <w:proofErr w:type="spellStart"/>
      <w:r>
        <w:t>se</w:t>
      </w:r>
      <w:proofErr w:type="spellEnd"/>
      <w:r>
        <w:t xml:space="preserve"> lhe opuser uma regra cujo título de validade é superior – se contrariar uma regra proveniente de fonte mais valiosa</w:t>
      </w:r>
    </w:p>
    <w:p w:rsidR="005C7060" w:rsidRDefault="005C7060" w:rsidP="00097F87">
      <w:pPr>
        <w:spacing w:after="0" w:line="240" w:lineRule="auto"/>
        <w:jc w:val="both"/>
      </w:pPr>
    </w:p>
    <w:p w:rsidR="005C7060" w:rsidRDefault="005C7060" w:rsidP="00097F87">
      <w:pPr>
        <w:spacing w:after="0" w:line="240" w:lineRule="auto"/>
        <w:jc w:val="both"/>
        <w:rPr>
          <w:b/>
        </w:rPr>
      </w:pPr>
      <w:r>
        <w:rPr>
          <w:b/>
        </w:rPr>
        <w:t xml:space="preserve">338. Fontes internacionais, costume, </w:t>
      </w:r>
      <w:proofErr w:type="gramStart"/>
      <w:r>
        <w:rPr>
          <w:b/>
        </w:rPr>
        <w:t>acórdãos com força obrigatória geral</w:t>
      </w:r>
      <w:proofErr w:type="gramEnd"/>
    </w:p>
    <w:p w:rsidR="005C7060" w:rsidRDefault="005C7060" w:rsidP="00097F87">
      <w:pPr>
        <w:spacing w:after="0" w:line="240" w:lineRule="auto"/>
        <w:jc w:val="both"/>
        <w:rPr>
          <w:i/>
        </w:rPr>
      </w:pPr>
      <w:r>
        <w:rPr>
          <w:i/>
        </w:rPr>
        <w:t xml:space="preserve">- </w:t>
      </w:r>
      <w:r>
        <w:t xml:space="preserve">São </w:t>
      </w:r>
      <w:r>
        <w:rPr>
          <w:i/>
        </w:rPr>
        <w:t>fontes internacionais</w:t>
      </w:r>
      <w:r>
        <w:t xml:space="preserve"> o </w:t>
      </w:r>
      <w:r>
        <w:rPr>
          <w:i/>
        </w:rPr>
        <w:t xml:space="preserve">costume </w:t>
      </w:r>
      <w:r>
        <w:t xml:space="preserve">internacional e os </w:t>
      </w:r>
      <w:r>
        <w:rPr>
          <w:i/>
        </w:rPr>
        <w:t>tratados e acordos normativos</w:t>
      </w:r>
    </w:p>
    <w:p w:rsidR="005C7060" w:rsidRDefault="005C7060" w:rsidP="00097F87">
      <w:pPr>
        <w:spacing w:after="0" w:line="240" w:lineRule="auto"/>
        <w:jc w:val="both"/>
        <w:rPr>
          <w:i/>
        </w:rPr>
      </w:pPr>
      <w:r>
        <w:rPr>
          <w:i/>
        </w:rPr>
        <w:t>Costume</w:t>
      </w:r>
    </w:p>
    <w:p w:rsidR="005C7060" w:rsidRDefault="005C7060" w:rsidP="00097F87">
      <w:pPr>
        <w:spacing w:after="0" w:line="240" w:lineRule="auto"/>
        <w:jc w:val="both"/>
      </w:pPr>
      <w:r>
        <w:t>- Posição paralela à da lei (nomeadamente à da lei constitucional)</w:t>
      </w:r>
    </w:p>
    <w:p w:rsidR="005C7060" w:rsidRDefault="005C7060" w:rsidP="00097F87">
      <w:pPr>
        <w:spacing w:after="0" w:line="240" w:lineRule="auto"/>
        <w:jc w:val="both"/>
        <w:rPr>
          <w:i/>
        </w:rPr>
      </w:pPr>
      <w:proofErr w:type="gramStart"/>
      <w:r>
        <w:rPr>
          <w:i/>
        </w:rPr>
        <w:t>Acórdãos com força obrigatória geral</w:t>
      </w:r>
      <w:proofErr w:type="gramEnd"/>
    </w:p>
    <w:p w:rsidR="005C7060" w:rsidRDefault="005C7060" w:rsidP="00097F87">
      <w:pPr>
        <w:spacing w:after="0" w:line="240" w:lineRule="auto"/>
        <w:jc w:val="both"/>
      </w:pPr>
      <w:r>
        <w:t>- Decisões jurisprudenciais com força obrigatória geral (posição paralela à lei)</w:t>
      </w:r>
    </w:p>
    <w:p w:rsidR="005C7060" w:rsidRDefault="005C7060" w:rsidP="00097F87">
      <w:pPr>
        <w:spacing w:after="0" w:line="240" w:lineRule="auto"/>
        <w:jc w:val="both"/>
      </w:pPr>
      <w:r>
        <w:t>- Quando interpretam autenticamente outras fontes, não lhe são superiores (podem ser revogados) nem inferiores (o que estabelecem é decisivo)</w:t>
      </w:r>
    </w:p>
    <w:p w:rsidR="005C7060" w:rsidRDefault="005C7060" w:rsidP="00097F87">
      <w:pPr>
        <w:spacing w:after="0" w:line="240" w:lineRule="auto"/>
        <w:jc w:val="both"/>
      </w:pPr>
      <w:r>
        <w:lastRenderedPageBreak/>
        <w:t>- Carácter instrumental ou complementar em relação às restantes fontes</w:t>
      </w:r>
    </w:p>
    <w:p w:rsidR="005C7060" w:rsidRDefault="005C7060" w:rsidP="00097F87">
      <w:pPr>
        <w:spacing w:after="0" w:line="240" w:lineRule="auto"/>
        <w:jc w:val="both"/>
      </w:pPr>
    </w:p>
    <w:p w:rsidR="005C7060" w:rsidRDefault="005C7060" w:rsidP="00097F87">
      <w:pPr>
        <w:spacing w:after="0" w:line="240" w:lineRule="auto"/>
        <w:jc w:val="both"/>
        <w:rPr>
          <w:b/>
        </w:rPr>
      </w:pPr>
      <w:r>
        <w:rPr>
          <w:b/>
        </w:rPr>
        <w:t>339. Disposições de entes intermediários e diplomas de autarquias locais</w:t>
      </w:r>
    </w:p>
    <w:p w:rsidR="005C7060" w:rsidRDefault="005C7060" w:rsidP="00097F87">
      <w:pPr>
        <w:spacing w:after="0" w:line="240" w:lineRule="auto"/>
        <w:jc w:val="both"/>
      </w:pPr>
      <w:r>
        <w:rPr>
          <w:i/>
        </w:rPr>
        <w:t>Disposições de entes intermediários</w:t>
      </w:r>
      <w:r>
        <w:t xml:space="preserve"> </w:t>
      </w:r>
      <w:proofErr w:type="spellStart"/>
      <w:r w:rsidRPr="005C0937">
        <w:rPr>
          <w:highlight w:val="yellow"/>
        </w:rPr>
        <w:t>Art</w:t>
      </w:r>
      <w:proofErr w:type="spellEnd"/>
      <w:r w:rsidRPr="005C0937">
        <w:rPr>
          <w:highlight w:val="yellow"/>
        </w:rPr>
        <w:t>. 1º, nº 3 CC</w:t>
      </w:r>
    </w:p>
    <w:p w:rsidR="005C7060" w:rsidRDefault="005C7060" w:rsidP="00097F87">
      <w:pPr>
        <w:spacing w:after="0" w:line="240" w:lineRule="auto"/>
        <w:jc w:val="both"/>
      </w:pPr>
      <w:r>
        <w:t>- Organismos profissionais, sendo que a disciplina que estabelecem está hierarquicamente subordinada à das leis do Estado</w:t>
      </w:r>
    </w:p>
    <w:p w:rsidR="005C7060" w:rsidRDefault="005C7060" w:rsidP="00097F87">
      <w:pPr>
        <w:spacing w:after="0" w:line="240" w:lineRule="auto"/>
        <w:jc w:val="both"/>
        <w:rPr>
          <w:i/>
        </w:rPr>
      </w:pPr>
      <w:r>
        <w:rPr>
          <w:i/>
        </w:rPr>
        <w:t>Diplomas de autarquias locais</w:t>
      </w:r>
    </w:p>
    <w:p w:rsidR="005C7060" w:rsidRDefault="00BC0D52" w:rsidP="00097F87">
      <w:pPr>
        <w:spacing w:after="0" w:line="240" w:lineRule="auto"/>
        <w:jc w:val="both"/>
      </w:pPr>
      <w:proofErr w:type="gramStart"/>
      <w:r w:rsidRPr="005C0937">
        <w:rPr>
          <w:highlight w:val="cyan"/>
        </w:rPr>
        <w:t>Ex.</w:t>
      </w:r>
      <w:proofErr w:type="gramEnd"/>
      <w:r w:rsidRPr="005C0937">
        <w:rPr>
          <w:highlight w:val="cyan"/>
        </w:rPr>
        <w:t>:</w:t>
      </w:r>
      <w:r>
        <w:t xml:space="preserve"> uma autarquia pode pretender resolver os problemas de trânsito afastando-se das regras estabelecidas pelo Estado – não há absorção de umas instituições por outras (há apenas uma necessária coordenação, de modo a não se prejudicarem as finalidades de conjunto)</w:t>
      </w:r>
    </w:p>
    <w:p w:rsidR="00BC0D52" w:rsidRDefault="00BC0D52" w:rsidP="00097F87">
      <w:pPr>
        <w:spacing w:after="0" w:line="240" w:lineRule="auto"/>
        <w:jc w:val="both"/>
      </w:pPr>
      <w:proofErr w:type="spellStart"/>
      <w:r w:rsidRPr="005C0937">
        <w:rPr>
          <w:highlight w:val="yellow"/>
        </w:rPr>
        <w:t>Art</w:t>
      </w:r>
      <w:proofErr w:type="spellEnd"/>
      <w:r w:rsidRPr="005C0937">
        <w:rPr>
          <w:highlight w:val="yellow"/>
        </w:rPr>
        <w:t xml:space="preserve">. 3º CC </w:t>
      </w:r>
      <w:r>
        <w:t>– as normas corporativas prevalecem sobre os usos</w:t>
      </w:r>
    </w:p>
    <w:p w:rsidR="00BC0D52" w:rsidRDefault="00BC0D52" w:rsidP="00097F87">
      <w:pPr>
        <w:spacing w:after="0" w:line="240" w:lineRule="auto"/>
        <w:jc w:val="both"/>
      </w:pPr>
    </w:p>
    <w:p w:rsidR="00BC0D52" w:rsidRDefault="00BC0D52" w:rsidP="00097F87">
      <w:pPr>
        <w:spacing w:after="0" w:line="240" w:lineRule="auto"/>
        <w:jc w:val="both"/>
      </w:pPr>
      <w:r>
        <w:t xml:space="preserve">- Se existir um conflito entre disposições de entes intermediários e diplomas de autarquias locais, o bem comum é o critério mais válido – as autarquias locais prosseguem o bem comum territorial (refere-se os aspectos em que as pessoas estão socialmente implicadas) =&gt; supera os bens categoriais prosseguidos por organismos intermediários </w:t>
      </w:r>
    </w:p>
    <w:p w:rsidR="00BC0D52" w:rsidRDefault="00BC0D52" w:rsidP="00097F87">
      <w:pPr>
        <w:spacing w:after="0" w:line="240" w:lineRule="auto"/>
        <w:jc w:val="both"/>
      </w:pPr>
    </w:p>
    <w:p w:rsidR="00BC0D52" w:rsidRDefault="00BC0D52" w:rsidP="00097F87">
      <w:pPr>
        <w:spacing w:after="0" w:line="240" w:lineRule="auto"/>
        <w:jc w:val="both"/>
        <w:rPr>
          <w:b/>
        </w:rPr>
      </w:pPr>
      <w:r>
        <w:rPr>
          <w:b/>
        </w:rPr>
        <w:t>340. Leis do Estado. As leis ordinárias</w:t>
      </w:r>
    </w:p>
    <w:p w:rsidR="00BC0D52" w:rsidRDefault="00BC0D52" w:rsidP="00097F87">
      <w:pPr>
        <w:spacing w:after="0" w:line="240" w:lineRule="auto"/>
        <w:jc w:val="both"/>
        <w:rPr>
          <w:i/>
        </w:rPr>
      </w:pPr>
      <w:r>
        <w:rPr>
          <w:i/>
        </w:rPr>
        <w:t>Lei constitucional</w:t>
      </w:r>
    </w:p>
    <w:p w:rsidR="00BC0D52" w:rsidRDefault="00BC0D52" w:rsidP="00097F87">
      <w:pPr>
        <w:spacing w:after="0" w:line="240" w:lineRule="auto"/>
        <w:jc w:val="both"/>
      </w:pPr>
      <w:r>
        <w:t>- Revoga quaisquer outras e não pode ser revogada por elas</w:t>
      </w:r>
    </w:p>
    <w:p w:rsidR="00BC0D52" w:rsidRDefault="00BC0D52" w:rsidP="00097F87">
      <w:pPr>
        <w:spacing w:after="0" w:line="240" w:lineRule="auto"/>
        <w:jc w:val="both"/>
        <w:rPr>
          <w:i/>
        </w:rPr>
      </w:pPr>
      <w:r>
        <w:rPr>
          <w:i/>
        </w:rPr>
        <w:t>Lei ordinária formal ou solene</w:t>
      </w:r>
    </w:p>
    <w:p w:rsidR="00BC0D52" w:rsidRDefault="00BC0D52" w:rsidP="00097F87">
      <w:pPr>
        <w:spacing w:after="0" w:line="240" w:lineRule="auto"/>
        <w:jc w:val="both"/>
      </w:pPr>
      <w:r>
        <w:t>- Definição e inovação dentro da ordem jurídica – remetem normalmente as reservas da lei constantes das constituições (têm todas o mesmo grau hierárquico)</w:t>
      </w:r>
    </w:p>
    <w:p w:rsidR="00BC0D52" w:rsidRDefault="00BC0D52" w:rsidP="00097F87">
      <w:pPr>
        <w:spacing w:after="0" w:line="240" w:lineRule="auto"/>
        <w:jc w:val="both"/>
        <w:rPr>
          <w:i/>
        </w:rPr>
      </w:pPr>
      <w:r>
        <w:rPr>
          <w:i/>
        </w:rPr>
        <w:t>Lei ordinária comum ou não solene</w:t>
      </w:r>
    </w:p>
    <w:p w:rsidR="00BC0D52" w:rsidRDefault="00BC0D52" w:rsidP="00097F87">
      <w:pPr>
        <w:spacing w:after="0" w:line="240" w:lineRule="auto"/>
        <w:jc w:val="both"/>
      </w:pPr>
      <w:r>
        <w:t>- Leis do poder central: dos órgãos centrais; dos órgãos locais e de entidades autónomas</w:t>
      </w:r>
    </w:p>
    <w:p w:rsidR="00BC0D52" w:rsidRDefault="00BC0D52" w:rsidP="00097F87">
      <w:pPr>
        <w:spacing w:after="0" w:line="240" w:lineRule="auto"/>
        <w:jc w:val="both"/>
      </w:pPr>
      <w:r>
        <w:tab/>
        <w:t>- Prevalência dos diplomas derivados dos órgãos centrais (subordinação hierárquica)</w:t>
      </w:r>
    </w:p>
    <w:p w:rsidR="00BC0D52" w:rsidRDefault="00BC0D52" w:rsidP="00097F87">
      <w:pPr>
        <w:spacing w:after="0" w:line="240" w:lineRule="auto"/>
        <w:jc w:val="both"/>
      </w:pPr>
      <w:r>
        <w:tab/>
        <w:t xml:space="preserve">- Diplomas locais e disposições de entidades autónomas – situação paralela, subordinadas às regras ministeriais </w:t>
      </w:r>
    </w:p>
    <w:p w:rsidR="00BC0D52" w:rsidRDefault="00BC0D52" w:rsidP="00097F87">
      <w:pPr>
        <w:spacing w:after="0" w:line="240" w:lineRule="auto"/>
        <w:jc w:val="both"/>
        <w:rPr>
          <w:i/>
        </w:rPr>
      </w:pPr>
      <w:r>
        <w:rPr>
          <w:i/>
        </w:rPr>
        <w:t>Leis do Estado comuns centrais</w:t>
      </w:r>
    </w:p>
    <w:p w:rsidR="00BC0D52" w:rsidRDefault="00BC0D52" w:rsidP="00097F87">
      <w:pPr>
        <w:spacing w:after="0" w:line="240" w:lineRule="auto"/>
        <w:jc w:val="both"/>
      </w:pPr>
      <w:r>
        <w:t>- Decreto ocupa lugar prevalente</w:t>
      </w:r>
    </w:p>
    <w:p w:rsidR="00BC0D52" w:rsidRDefault="00BC0D52" w:rsidP="00097F87">
      <w:pPr>
        <w:spacing w:after="0" w:line="240" w:lineRule="auto"/>
        <w:jc w:val="both"/>
      </w:pPr>
      <w:r>
        <w:t>- Portarias e despachos são hierarquicamente equivalentes (superam as fontes internas – instruções)</w:t>
      </w:r>
    </w:p>
    <w:p w:rsidR="00BC0D52" w:rsidRDefault="00BC0D52" w:rsidP="00097F87">
      <w:pPr>
        <w:spacing w:after="0" w:line="240" w:lineRule="auto"/>
        <w:jc w:val="both"/>
      </w:pPr>
    </w:p>
    <w:p w:rsidR="00BC0D52" w:rsidRPr="00BC0D52" w:rsidRDefault="00BC0D52" w:rsidP="00097F87">
      <w:pPr>
        <w:spacing w:after="0" w:line="240" w:lineRule="auto"/>
        <w:jc w:val="both"/>
        <w:rPr>
          <w:b/>
        </w:rPr>
      </w:pPr>
    </w:p>
    <w:p w:rsidR="005C7060" w:rsidRPr="005C7060" w:rsidRDefault="005C7060" w:rsidP="00097F87">
      <w:pPr>
        <w:spacing w:after="0" w:line="240" w:lineRule="auto"/>
        <w:jc w:val="both"/>
      </w:pPr>
    </w:p>
    <w:p w:rsidR="005C7060" w:rsidRPr="005C7060" w:rsidRDefault="005C7060" w:rsidP="00097F87">
      <w:pPr>
        <w:spacing w:after="0" w:line="240" w:lineRule="auto"/>
        <w:jc w:val="both"/>
      </w:pPr>
    </w:p>
    <w:sectPr w:rsidR="005C7060" w:rsidRPr="005C7060" w:rsidSect="004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11A"/>
    <w:rsid w:val="00050879"/>
    <w:rsid w:val="00097F87"/>
    <w:rsid w:val="001A411A"/>
    <w:rsid w:val="001F106A"/>
    <w:rsid w:val="004A29E5"/>
    <w:rsid w:val="005C0937"/>
    <w:rsid w:val="005C7060"/>
    <w:rsid w:val="005D58A0"/>
    <w:rsid w:val="006A2B90"/>
    <w:rsid w:val="00BA5022"/>
    <w:rsid w:val="00BC0D52"/>
    <w:rsid w:val="00C7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2009-10-31T15:23:00Z</dcterms:created>
  <dcterms:modified xsi:type="dcterms:W3CDTF">2009-10-31T16:27:00Z</dcterms:modified>
</cp:coreProperties>
</file>