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49" w:rsidRDefault="00955249" w:rsidP="00955249">
      <w:pPr>
        <w:spacing w:after="0"/>
        <w:jc w:val="both"/>
        <w:rPr>
          <w:rFonts w:ascii="Garamond" w:hAnsi="Garamond"/>
          <w:b/>
          <w:sz w:val="24"/>
          <w:szCs w:val="24"/>
        </w:rPr>
      </w:pPr>
    </w:p>
    <w:p w:rsidR="00955249" w:rsidRDefault="00955249" w:rsidP="00955249">
      <w:pPr>
        <w:spacing w:after="0"/>
        <w:jc w:val="both"/>
        <w:rPr>
          <w:rFonts w:ascii="Garamond" w:hAnsi="Garamond"/>
          <w:b/>
          <w:sz w:val="24"/>
          <w:szCs w:val="24"/>
        </w:rPr>
      </w:pPr>
    </w:p>
    <w:p w:rsidR="00955249" w:rsidRDefault="00955249" w:rsidP="00955249">
      <w:pPr>
        <w:spacing w:after="0"/>
        <w:jc w:val="both"/>
        <w:rPr>
          <w:rFonts w:ascii="Garamond" w:hAnsi="Garamond"/>
          <w:b/>
          <w:sz w:val="24"/>
          <w:szCs w:val="24"/>
        </w:rPr>
      </w:pPr>
    </w:p>
    <w:p w:rsidR="00955249" w:rsidRPr="00E06C64" w:rsidRDefault="00955249" w:rsidP="00955249">
      <w:pPr>
        <w:spacing w:after="0"/>
        <w:jc w:val="both"/>
        <w:rPr>
          <w:rFonts w:ascii="Garamond" w:hAnsi="Garamond"/>
          <w:b/>
          <w:sz w:val="24"/>
          <w:szCs w:val="24"/>
        </w:rPr>
      </w:pPr>
      <w:r w:rsidRPr="00E06C64">
        <w:rPr>
          <w:rFonts w:ascii="Garamond" w:hAnsi="Garamond"/>
          <w:b/>
          <w:sz w:val="24"/>
          <w:szCs w:val="24"/>
        </w:rPr>
        <w:t xml:space="preserve">19.1. </w:t>
      </w:r>
      <w:bookmarkStart w:id="0" w:name="_GoBack"/>
      <w:r w:rsidRPr="00E06C64">
        <w:rPr>
          <w:rFonts w:ascii="Garamond" w:hAnsi="Garamond"/>
          <w:b/>
          <w:sz w:val="24"/>
          <w:szCs w:val="24"/>
        </w:rPr>
        <w:t>Exemplos práticos acerca das diferentes modalidades de interpretação</w:t>
      </w:r>
      <w:bookmarkEnd w:id="0"/>
    </w:p>
    <w:p w:rsidR="00955249" w:rsidRPr="00E06C64" w:rsidRDefault="00955249" w:rsidP="00955249">
      <w:pPr>
        <w:spacing w:after="0"/>
        <w:jc w:val="both"/>
        <w:rPr>
          <w:rFonts w:ascii="Garamond" w:hAnsi="Garamond"/>
          <w:b/>
          <w:sz w:val="24"/>
          <w:szCs w:val="24"/>
        </w:rPr>
      </w:pP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 xml:space="preserve">19.1.1. Interpretação declarativa </w:t>
      </w:r>
      <w:r w:rsidRPr="00E06C64">
        <w:rPr>
          <w:rFonts w:ascii="Garamond" w:hAnsi="Garamond"/>
          <w:sz w:val="24"/>
          <w:szCs w:val="24"/>
        </w:rPr>
        <w:t>-</w:t>
      </w:r>
      <w:r w:rsidRPr="00E06C64">
        <w:rPr>
          <w:rFonts w:ascii="Garamond" w:hAnsi="Garamond"/>
          <w:b/>
          <w:sz w:val="24"/>
          <w:szCs w:val="24"/>
        </w:rPr>
        <w:t xml:space="preserve"> </w:t>
      </w:r>
      <w:r w:rsidRPr="00E06C64">
        <w:rPr>
          <w:rFonts w:ascii="Garamond" w:hAnsi="Garamond"/>
          <w:sz w:val="24"/>
          <w:szCs w:val="24"/>
        </w:rPr>
        <w:t>deve-se</w:t>
      </w:r>
      <w:r w:rsidRPr="00E06C64">
        <w:rPr>
          <w:rFonts w:ascii="Garamond" w:hAnsi="Garamond"/>
          <w:b/>
          <w:sz w:val="24"/>
          <w:szCs w:val="24"/>
        </w:rPr>
        <w:t xml:space="preserve"> </w:t>
      </w:r>
      <w:r w:rsidRPr="00E06C64">
        <w:rPr>
          <w:rFonts w:ascii="Garamond" w:hAnsi="Garamond"/>
          <w:sz w:val="24"/>
          <w:szCs w:val="24"/>
        </w:rPr>
        <w:t>optar pelo sentido mais restrito ou pelo sentido mais amplo. V.</w:t>
      </w:r>
      <w:proofErr w:type="gramStart"/>
      <w:r w:rsidRPr="00E06C64">
        <w:rPr>
          <w:rFonts w:ascii="Garamond" w:hAnsi="Garamond"/>
          <w:sz w:val="24"/>
          <w:szCs w:val="24"/>
        </w:rPr>
        <w:t>g.</w:t>
      </w:r>
      <w:proofErr w:type="gramEnd"/>
      <w:r w:rsidRPr="00E06C64">
        <w:rPr>
          <w:rFonts w:ascii="Garamond" w:hAnsi="Garamond"/>
          <w:sz w:val="24"/>
          <w:szCs w:val="24"/>
        </w:rPr>
        <w:t xml:space="preserve">: </w:t>
      </w:r>
      <w:r w:rsidRPr="00E06C64">
        <w:rPr>
          <w:rFonts w:ascii="Garamond" w:hAnsi="Garamond"/>
          <w:b/>
          <w:sz w:val="24"/>
          <w:szCs w:val="24"/>
        </w:rPr>
        <w:t xml:space="preserve">a) </w:t>
      </w:r>
      <w:r w:rsidRPr="00E06C64">
        <w:rPr>
          <w:rFonts w:ascii="Garamond" w:hAnsi="Garamond"/>
          <w:i/>
          <w:sz w:val="24"/>
          <w:szCs w:val="24"/>
          <w:u w:val="single"/>
        </w:rPr>
        <w:t>Homem</w:t>
      </w:r>
      <w:r w:rsidRPr="00E06C64">
        <w:rPr>
          <w:rFonts w:ascii="Garamond" w:hAnsi="Garamond"/>
          <w:sz w:val="24"/>
          <w:szCs w:val="24"/>
        </w:rPr>
        <w:t xml:space="preserve"> - indivíduo de sexo masculino ou ser humano (v.g., </w:t>
      </w:r>
      <w:proofErr w:type="spellStart"/>
      <w:r w:rsidRPr="00E06C64">
        <w:rPr>
          <w:rFonts w:ascii="Garamond" w:hAnsi="Garamond"/>
          <w:sz w:val="24"/>
          <w:szCs w:val="24"/>
        </w:rPr>
        <w:t>art</w:t>
      </w:r>
      <w:proofErr w:type="spellEnd"/>
      <w:r w:rsidRPr="00E06C64">
        <w:rPr>
          <w:rFonts w:ascii="Garamond" w:hAnsi="Garamond"/>
          <w:sz w:val="24"/>
          <w:szCs w:val="24"/>
        </w:rPr>
        <w:t xml:space="preserve">. 362.º do CC); </w:t>
      </w:r>
      <w:r w:rsidRPr="00E06C64">
        <w:rPr>
          <w:rFonts w:ascii="Garamond" w:hAnsi="Garamond"/>
          <w:b/>
          <w:sz w:val="24"/>
          <w:szCs w:val="24"/>
        </w:rPr>
        <w:t xml:space="preserve">b) </w:t>
      </w:r>
      <w:r w:rsidRPr="00E06C64">
        <w:rPr>
          <w:rFonts w:ascii="Garamond" w:hAnsi="Garamond"/>
          <w:i/>
          <w:sz w:val="24"/>
          <w:szCs w:val="24"/>
          <w:u w:val="single"/>
        </w:rPr>
        <w:t>Filhos</w:t>
      </w:r>
      <w:r w:rsidRPr="00E06C64">
        <w:rPr>
          <w:rFonts w:ascii="Garamond" w:hAnsi="Garamond"/>
          <w:sz w:val="24"/>
          <w:szCs w:val="24"/>
        </w:rPr>
        <w:t xml:space="preserve"> - descendentes do sexo masculino ou descendentes em geral do sexo masculino e feminino (v.g., </w:t>
      </w:r>
      <w:proofErr w:type="spellStart"/>
      <w:r w:rsidRPr="00E06C64">
        <w:rPr>
          <w:rFonts w:ascii="Garamond" w:hAnsi="Garamond"/>
          <w:sz w:val="24"/>
          <w:szCs w:val="24"/>
        </w:rPr>
        <w:t>art</w:t>
      </w:r>
      <w:proofErr w:type="spellEnd"/>
      <w:r w:rsidRPr="00E06C64">
        <w:rPr>
          <w:rFonts w:ascii="Garamond" w:hAnsi="Garamond"/>
          <w:sz w:val="24"/>
          <w:szCs w:val="24"/>
        </w:rPr>
        <w:t xml:space="preserve">. 1826.º do CC); </w:t>
      </w:r>
      <w:r w:rsidRPr="00E06C64">
        <w:rPr>
          <w:rFonts w:ascii="Garamond" w:hAnsi="Garamond"/>
          <w:b/>
          <w:sz w:val="24"/>
          <w:szCs w:val="24"/>
        </w:rPr>
        <w:t>c)</w:t>
      </w:r>
      <w:r w:rsidRPr="00E06C64">
        <w:rPr>
          <w:rFonts w:ascii="Garamond" w:hAnsi="Garamond"/>
          <w:sz w:val="24"/>
          <w:szCs w:val="24"/>
        </w:rPr>
        <w:t xml:space="preserve"> </w:t>
      </w:r>
      <w:r w:rsidRPr="00E06C64">
        <w:rPr>
          <w:rFonts w:ascii="Garamond" w:hAnsi="Garamond"/>
          <w:i/>
          <w:sz w:val="24"/>
          <w:szCs w:val="24"/>
          <w:u w:val="single"/>
        </w:rPr>
        <w:t>Alienar</w:t>
      </w:r>
      <w:r w:rsidRPr="00E06C64">
        <w:rPr>
          <w:rFonts w:ascii="Garamond" w:hAnsi="Garamond"/>
          <w:i/>
          <w:sz w:val="24"/>
          <w:szCs w:val="24"/>
        </w:rPr>
        <w:t xml:space="preserve"> </w:t>
      </w:r>
      <w:r w:rsidRPr="00E06C64">
        <w:rPr>
          <w:rFonts w:ascii="Garamond" w:hAnsi="Garamond"/>
          <w:sz w:val="24"/>
          <w:szCs w:val="24"/>
        </w:rPr>
        <w:t xml:space="preserve">- dispor duma coisa parcialmente </w:t>
      </w:r>
      <w:r>
        <w:rPr>
          <w:rFonts w:ascii="Garamond" w:hAnsi="Garamond"/>
          <w:sz w:val="24"/>
          <w:szCs w:val="24"/>
        </w:rPr>
        <w:t>ou dispor duma coisa totalmente</w:t>
      </w:r>
      <w:r w:rsidRPr="00E06C64">
        <w:rPr>
          <w:rFonts w:ascii="Garamond" w:hAnsi="Garamond"/>
          <w:sz w:val="24"/>
          <w:szCs w:val="24"/>
        </w:rPr>
        <w:t xml:space="preserve">; </w:t>
      </w:r>
      <w:r w:rsidRPr="00E06C64">
        <w:rPr>
          <w:rFonts w:ascii="Garamond" w:hAnsi="Garamond"/>
          <w:b/>
          <w:sz w:val="24"/>
          <w:szCs w:val="24"/>
        </w:rPr>
        <w:t>d)</w:t>
      </w:r>
      <w:r w:rsidRPr="00E06C64">
        <w:rPr>
          <w:rFonts w:ascii="Garamond" w:hAnsi="Garamond"/>
          <w:sz w:val="24"/>
          <w:szCs w:val="24"/>
        </w:rPr>
        <w:t xml:space="preserve"> </w:t>
      </w:r>
      <w:r w:rsidRPr="00E06C64">
        <w:rPr>
          <w:rFonts w:ascii="Garamond" w:hAnsi="Garamond"/>
          <w:i/>
          <w:sz w:val="24"/>
          <w:szCs w:val="24"/>
          <w:u w:val="single"/>
        </w:rPr>
        <w:t>Culpa</w:t>
      </w:r>
      <w:r w:rsidRPr="00E06C64">
        <w:rPr>
          <w:rFonts w:ascii="Garamond" w:hAnsi="Garamond"/>
          <w:sz w:val="24"/>
          <w:szCs w:val="24"/>
        </w:rPr>
        <w:t xml:space="preserve"> – pode incluir as situações de dolo e negligência, ou somente uma destas (v.g., no </w:t>
      </w:r>
      <w:proofErr w:type="spellStart"/>
      <w:r w:rsidRPr="00E06C64">
        <w:rPr>
          <w:rFonts w:ascii="Garamond" w:hAnsi="Garamond"/>
          <w:sz w:val="24"/>
          <w:szCs w:val="24"/>
        </w:rPr>
        <w:t>art</w:t>
      </w:r>
      <w:proofErr w:type="spellEnd"/>
      <w:r w:rsidRPr="00E06C64">
        <w:rPr>
          <w:rFonts w:ascii="Garamond" w:hAnsi="Garamond"/>
          <w:sz w:val="24"/>
          <w:szCs w:val="24"/>
        </w:rPr>
        <w:t>. 493.º, n.º 1 do CC a palavra culpa significa negligência</w:t>
      </w:r>
      <w:r w:rsidRPr="00E06C64">
        <w:rPr>
          <w:rStyle w:val="Refdenotaderodap"/>
          <w:rFonts w:ascii="Garamond" w:hAnsi="Garamond"/>
          <w:sz w:val="24"/>
          <w:szCs w:val="24"/>
        </w:rPr>
        <w:footnoteReference w:id="1"/>
      </w:r>
      <w:r w:rsidRPr="00E06C64">
        <w:rPr>
          <w:rFonts w:ascii="Garamond" w:hAnsi="Garamond"/>
          <w:sz w:val="24"/>
          <w:szCs w:val="24"/>
        </w:rPr>
        <w:t>).</w:t>
      </w:r>
    </w:p>
    <w:p w:rsidR="00955249" w:rsidRPr="00E06C64" w:rsidRDefault="00955249" w:rsidP="00955249">
      <w:pPr>
        <w:spacing w:line="360" w:lineRule="auto"/>
        <w:jc w:val="both"/>
        <w:rPr>
          <w:rFonts w:ascii="Garamond" w:hAnsi="Garamond"/>
          <w:b/>
          <w:sz w:val="24"/>
          <w:szCs w:val="24"/>
        </w:rPr>
      </w:pPr>
      <w:r w:rsidRPr="00E06C64">
        <w:rPr>
          <w:rFonts w:ascii="Garamond" w:hAnsi="Garamond"/>
          <w:b/>
          <w:sz w:val="24"/>
          <w:szCs w:val="24"/>
        </w:rPr>
        <w:t xml:space="preserve">19.1.2. Interpretação extensiva </w:t>
      </w:r>
      <w:r w:rsidRPr="00E06C64">
        <w:rPr>
          <w:rFonts w:ascii="Garamond" w:hAnsi="Garamond"/>
          <w:sz w:val="24"/>
          <w:szCs w:val="24"/>
        </w:rPr>
        <w:t>– deve-se estender a letra da lei. V.</w:t>
      </w:r>
      <w:proofErr w:type="gramStart"/>
      <w:r w:rsidRPr="00E06C64">
        <w:rPr>
          <w:rFonts w:ascii="Garamond" w:hAnsi="Garamond"/>
          <w:sz w:val="24"/>
          <w:szCs w:val="24"/>
        </w:rPr>
        <w:t>g.</w:t>
      </w:r>
      <w:proofErr w:type="gramEnd"/>
      <w:r w:rsidRPr="00E06C64">
        <w:rPr>
          <w:rFonts w:ascii="Garamond" w:hAnsi="Garamond"/>
          <w:sz w:val="24"/>
          <w:szCs w:val="24"/>
        </w:rPr>
        <w:t xml:space="preserve">: </w:t>
      </w:r>
      <w:r w:rsidRPr="00E06C64">
        <w:rPr>
          <w:rFonts w:ascii="Garamond" w:hAnsi="Garamond"/>
          <w:b/>
          <w:sz w:val="24"/>
          <w:szCs w:val="24"/>
        </w:rPr>
        <w:t xml:space="preserve">a) </w:t>
      </w:r>
      <w:proofErr w:type="gramStart"/>
      <w:r w:rsidRPr="00E06C64">
        <w:rPr>
          <w:rFonts w:ascii="Garamond" w:hAnsi="Garamond"/>
          <w:i/>
          <w:sz w:val="24"/>
          <w:szCs w:val="24"/>
          <w:u w:val="single"/>
        </w:rPr>
        <w:t>Avós</w:t>
      </w:r>
      <w:r w:rsidRPr="00E06C64">
        <w:rPr>
          <w:rFonts w:ascii="Garamond" w:hAnsi="Garamond"/>
          <w:sz w:val="24"/>
          <w:szCs w:val="24"/>
        </w:rPr>
        <w:t xml:space="preserve"> – estende</w:t>
      </w:r>
      <w:proofErr w:type="gramEnd"/>
      <w:r w:rsidRPr="00E06C64">
        <w:rPr>
          <w:rFonts w:ascii="Garamond" w:hAnsi="Garamond"/>
          <w:sz w:val="24"/>
          <w:szCs w:val="24"/>
        </w:rPr>
        <w:t xml:space="preserve">-se a bisavós (v.g., </w:t>
      </w:r>
      <w:proofErr w:type="spellStart"/>
      <w:r w:rsidRPr="00E06C64">
        <w:rPr>
          <w:rFonts w:ascii="Garamond" w:hAnsi="Garamond"/>
          <w:sz w:val="24"/>
          <w:szCs w:val="24"/>
        </w:rPr>
        <w:t>art</w:t>
      </w:r>
      <w:proofErr w:type="spellEnd"/>
      <w:r w:rsidRPr="00E06C64">
        <w:rPr>
          <w:rFonts w:ascii="Garamond" w:hAnsi="Garamond"/>
          <w:sz w:val="24"/>
          <w:szCs w:val="24"/>
        </w:rPr>
        <w:t xml:space="preserve">. 877.º do CC); </w:t>
      </w:r>
      <w:r w:rsidRPr="00E06C64">
        <w:rPr>
          <w:rFonts w:ascii="Garamond" w:hAnsi="Garamond"/>
          <w:b/>
          <w:sz w:val="24"/>
          <w:szCs w:val="24"/>
        </w:rPr>
        <w:t>b)</w:t>
      </w:r>
      <w:r w:rsidRPr="00E06C64">
        <w:rPr>
          <w:rFonts w:ascii="Garamond" w:hAnsi="Garamond"/>
          <w:sz w:val="24"/>
          <w:szCs w:val="24"/>
        </w:rPr>
        <w:t xml:space="preserve"> o </w:t>
      </w:r>
      <w:proofErr w:type="spellStart"/>
      <w:r w:rsidRPr="00E06C64">
        <w:rPr>
          <w:rFonts w:ascii="Garamond" w:hAnsi="Garamond"/>
          <w:sz w:val="24"/>
          <w:szCs w:val="24"/>
        </w:rPr>
        <w:t>art</w:t>
      </w:r>
      <w:proofErr w:type="spellEnd"/>
      <w:r w:rsidRPr="00E06C64">
        <w:rPr>
          <w:rFonts w:ascii="Garamond" w:hAnsi="Garamond"/>
          <w:sz w:val="24"/>
          <w:szCs w:val="24"/>
        </w:rPr>
        <w:t xml:space="preserve">. 506.º, n.º 1 do CC, sobre a responsabilidade nos casos de colisão de veículos, abrange não só os danos causados pelos veículos, mas também todos os outros danos que resultarem da colisão; </w:t>
      </w:r>
      <w:r w:rsidRPr="00E06C64">
        <w:rPr>
          <w:rFonts w:ascii="Garamond" w:hAnsi="Garamond"/>
          <w:b/>
          <w:sz w:val="24"/>
          <w:szCs w:val="24"/>
        </w:rPr>
        <w:t>c)</w:t>
      </w:r>
      <w:r w:rsidRPr="00E06C64">
        <w:rPr>
          <w:rFonts w:ascii="Garamond" w:hAnsi="Garamond"/>
          <w:sz w:val="24"/>
          <w:szCs w:val="24"/>
        </w:rPr>
        <w:t xml:space="preserve"> a indemnização por danos decorrentes de escavações, prevista no </w:t>
      </w:r>
      <w:proofErr w:type="spellStart"/>
      <w:r w:rsidRPr="00E06C64">
        <w:rPr>
          <w:rFonts w:ascii="Garamond" w:hAnsi="Garamond"/>
          <w:sz w:val="24"/>
          <w:szCs w:val="24"/>
        </w:rPr>
        <w:t>art</w:t>
      </w:r>
      <w:proofErr w:type="spellEnd"/>
      <w:r w:rsidRPr="00E06C64">
        <w:rPr>
          <w:rFonts w:ascii="Garamond" w:hAnsi="Garamond"/>
          <w:sz w:val="24"/>
          <w:szCs w:val="24"/>
        </w:rPr>
        <w:t>. 1348.º, n.º 2 do CC, abrange não só os proprietários dos prédios vizinhos afectados, mas também os donos de estabelecimento comercial instalado no prédio no prédio afectado pela escavação</w:t>
      </w:r>
      <w:r w:rsidRPr="00E06C64">
        <w:rPr>
          <w:rStyle w:val="Refdenotaderodap"/>
          <w:rFonts w:ascii="Garamond" w:hAnsi="Garamond"/>
          <w:sz w:val="24"/>
          <w:szCs w:val="24"/>
        </w:rPr>
        <w:footnoteReference w:id="2"/>
      </w:r>
      <w:r w:rsidRPr="00E06C64">
        <w:rPr>
          <w:rFonts w:ascii="Garamond" w:hAnsi="Garamond"/>
          <w:sz w:val="24"/>
          <w:szCs w:val="24"/>
        </w:rPr>
        <w:t>.</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 xml:space="preserve">19.1.3. Interpretação restritiva </w:t>
      </w:r>
      <w:r w:rsidRPr="00E06C64">
        <w:rPr>
          <w:rFonts w:ascii="Garamond" w:hAnsi="Garamond"/>
          <w:sz w:val="24"/>
          <w:szCs w:val="24"/>
        </w:rPr>
        <w:t>– deve-se limitar a letra da lei. V.</w:t>
      </w:r>
      <w:proofErr w:type="gramStart"/>
      <w:r w:rsidRPr="00E06C64">
        <w:rPr>
          <w:rFonts w:ascii="Garamond" w:hAnsi="Garamond"/>
          <w:sz w:val="24"/>
          <w:szCs w:val="24"/>
        </w:rPr>
        <w:t>g.</w:t>
      </w:r>
      <w:proofErr w:type="gramEnd"/>
      <w:r w:rsidRPr="00E06C64">
        <w:rPr>
          <w:rFonts w:ascii="Garamond" w:hAnsi="Garamond"/>
          <w:sz w:val="24"/>
          <w:szCs w:val="24"/>
        </w:rPr>
        <w:t xml:space="preserve">: </w:t>
      </w:r>
      <w:r w:rsidRPr="00E06C64">
        <w:rPr>
          <w:rFonts w:ascii="Garamond" w:hAnsi="Garamond"/>
          <w:b/>
          <w:sz w:val="24"/>
          <w:szCs w:val="24"/>
        </w:rPr>
        <w:t>a)</w:t>
      </w:r>
      <w:r w:rsidRPr="00E06C64">
        <w:rPr>
          <w:rFonts w:ascii="Garamond" w:hAnsi="Garamond"/>
          <w:sz w:val="24"/>
          <w:szCs w:val="24"/>
        </w:rPr>
        <w:t xml:space="preserve"> </w:t>
      </w:r>
      <w:r w:rsidRPr="00E06C64">
        <w:rPr>
          <w:rFonts w:ascii="Garamond" w:hAnsi="Garamond"/>
          <w:i/>
          <w:sz w:val="24"/>
          <w:szCs w:val="24"/>
          <w:u w:val="single"/>
        </w:rPr>
        <w:t>Estado mental</w:t>
      </w:r>
      <w:r w:rsidRPr="00E06C64">
        <w:rPr>
          <w:rFonts w:ascii="Garamond" w:hAnsi="Garamond"/>
          <w:sz w:val="24"/>
          <w:szCs w:val="24"/>
        </w:rPr>
        <w:t xml:space="preserve"> – limita-se a estado mental negativo ou depressivo (v.g., </w:t>
      </w:r>
      <w:proofErr w:type="spellStart"/>
      <w:r w:rsidRPr="00E06C64">
        <w:rPr>
          <w:rFonts w:ascii="Garamond" w:hAnsi="Garamond"/>
          <w:sz w:val="24"/>
          <w:szCs w:val="24"/>
        </w:rPr>
        <w:t>art</w:t>
      </w:r>
      <w:proofErr w:type="spellEnd"/>
      <w:r w:rsidRPr="00E06C64">
        <w:rPr>
          <w:rFonts w:ascii="Garamond" w:hAnsi="Garamond"/>
          <w:sz w:val="24"/>
          <w:szCs w:val="24"/>
        </w:rPr>
        <w:t xml:space="preserve">. 282.º, n.º 1, do CC); </w:t>
      </w:r>
      <w:r w:rsidRPr="00E06C64">
        <w:rPr>
          <w:rFonts w:ascii="Garamond" w:hAnsi="Garamond"/>
          <w:b/>
          <w:sz w:val="24"/>
          <w:szCs w:val="24"/>
        </w:rPr>
        <w:t>b)</w:t>
      </w:r>
      <w:r w:rsidRPr="00E06C64">
        <w:rPr>
          <w:rFonts w:ascii="Garamond" w:hAnsi="Garamond"/>
          <w:sz w:val="24"/>
          <w:szCs w:val="24"/>
        </w:rPr>
        <w:t xml:space="preserve"> </w:t>
      </w:r>
      <w:r w:rsidRPr="00E06C64">
        <w:rPr>
          <w:rFonts w:ascii="Garamond" w:hAnsi="Garamond"/>
          <w:i/>
          <w:sz w:val="24"/>
          <w:szCs w:val="24"/>
          <w:u w:val="single"/>
        </w:rPr>
        <w:t>Lei</w:t>
      </w:r>
      <w:r w:rsidRPr="00E06C64">
        <w:rPr>
          <w:rFonts w:ascii="Garamond" w:hAnsi="Garamond"/>
          <w:sz w:val="24"/>
          <w:szCs w:val="24"/>
        </w:rPr>
        <w:t xml:space="preserve"> no </w:t>
      </w:r>
      <w:proofErr w:type="spellStart"/>
      <w:r w:rsidRPr="00E06C64">
        <w:rPr>
          <w:rFonts w:ascii="Garamond" w:hAnsi="Garamond"/>
          <w:sz w:val="24"/>
          <w:szCs w:val="24"/>
        </w:rPr>
        <w:t>art</w:t>
      </w:r>
      <w:proofErr w:type="spellEnd"/>
      <w:r w:rsidRPr="00E06C64">
        <w:rPr>
          <w:rFonts w:ascii="Garamond" w:hAnsi="Garamond"/>
          <w:sz w:val="24"/>
          <w:szCs w:val="24"/>
        </w:rPr>
        <w:t>. 5.º, n.º 1, do CC – limita-se às normas que estejam sujeitas a publicação em jornal oficial (não inclui, por exemplo, as normas das Autarquias Locais</w:t>
      </w:r>
      <w:r w:rsidRPr="00955249">
        <w:rPr>
          <w:rFonts w:ascii="Garamond" w:hAnsi="Garamond"/>
          <w:sz w:val="24"/>
          <w:szCs w:val="24"/>
        </w:rPr>
        <w:t>); c</w:t>
      </w:r>
      <w:r w:rsidRPr="00955249">
        <w:rPr>
          <w:rFonts w:ascii="Garamond" w:hAnsi="Garamond"/>
          <w:b/>
          <w:sz w:val="24"/>
          <w:szCs w:val="24"/>
        </w:rPr>
        <w:t xml:space="preserve">) </w:t>
      </w:r>
      <w:r w:rsidRPr="00955249">
        <w:rPr>
          <w:rFonts w:ascii="Garamond" w:hAnsi="Garamond"/>
          <w:i/>
          <w:sz w:val="24"/>
          <w:szCs w:val="24"/>
          <w:u w:val="single"/>
        </w:rPr>
        <w:t>Casamento é indissolúvel</w:t>
      </w:r>
      <w:r w:rsidRPr="00955249">
        <w:rPr>
          <w:rFonts w:ascii="Garamond" w:hAnsi="Garamond"/>
          <w:sz w:val="24"/>
          <w:szCs w:val="24"/>
        </w:rPr>
        <w:t xml:space="preserve"> - limita-se a indissolúvel por divórcio; </w:t>
      </w:r>
      <w:r w:rsidRPr="00955249">
        <w:rPr>
          <w:rFonts w:ascii="Garamond" w:hAnsi="Garamond"/>
          <w:b/>
          <w:sz w:val="24"/>
          <w:szCs w:val="24"/>
        </w:rPr>
        <w:t>d)</w:t>
      </w:r>
      <w:r w:rsidRPr="00955249">
        <w:rPr>
          <w:rFonts w:ascii="Garamond" w:hAnsi="Garamond"/>
          <w:sz w:val="24"/>
          <w:szCs w:val="24"/>
        </w:rPr>
        <w:t xml:space="preserve"> A proibição de entrada em estádios com objectos contundentes – não abrange os agentes da Polícia de Segurança Pública.</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 xml:space="preserve">19.1.4. Redução teleológica – </w:t>
      </w:r>
      <w:r w:rsidRPr="00E06C64">
        <w:rPr>
          <w:rFonts w:ascii="Garamond" w:hAnsi="Garamond"/>
          <w:sz w:val="24"/>
          <w:szCs w:val="24"/>
        </w:rPr>
        <w:t>deve-se restringir a letra da lei para além do significado literal possível com base numa nova consideração do elemento teleológico. V.</w:t>
      </w:r>
      <w:proofErr w:type="gramStart"/>
      <w:r w:rsidRPr="00E06C64">
        <w:rPr>
          <w:rFonts w:ascii="Garamond" w:hAnsi="Garamond"/>
          <w:sz w:val="24"/>
          <w:szCs w:val="24"/>
        </w:rPr>
        <w:t>g.</w:t>
      </w:r>
      <w:proofErr w:type="gramEnd"/>
      <w:r w:rsidRPr="00E06C64">
        <w:rPr>
          <w:rFonts w:ascii="Garamond" w:hAnsi="Garamond"/>
          <w:sz w:val="24"/>
          <w:szCs w:val="24"/>
        </w:rPr>
        <w:t xml:space="preserve">: </w:t>
      </w:r>
      <w:r w:rsidRPr="00E06C64">
        <w:rPr>
          <w:rFonts w:ascii="Garamond" w:hAnsi="Garamond"/>
          <w:b/>
          <w:sz w:val="24"/>
          <w:szCs w:val="24"/>
        </w:rPr>
        <w:t>a)</w:t>
      </w:r>
      <w:r w:rsidRPr="00E06C64">
        <w:rPr>
          <w:rFonts w:ascii="Garamond" w:hAnsi="Garamond"/>
          <w:sz w:val="24"/>
          <w:szCs w:val="24"/>
        </w:rPr>
        <w:t xml:space="preserve"> o </w:t>
      </w:r>
      <w:proofErr w:type="spellStart"/>
      <w:r w:rsidRPr="00E06C64">
        <w:rPr>
          <w:rFonts w:ascii="Garamond" w:hAnsi="Garamond"/>
          <w:sz w:val="24"/>
          <w:szCs w:val="24"/>
        </w:rPr>
        <w:t>art</w:t>
      </w:r>
      <w:proofErr w:type="spellEnd"/>
      <w:r w:rsidRPr="00E06C64">
        <w:rPr>
          <w:rFonts w:ascii="Garamond" w:hAnsi="Garamond"/>
          <w:sz w:val="24"/>
          <w:szCs w:val="24"/>
        </w:rPr>
        <w:t>. 181.º do BGB que fixa a proibição de negócios consigo próprio – não se aplica no caso da doação do representante a favor do representado</w:t>
      </w:r>
      <w:r w:rsidRPr="00E06C64">
        <w:rPr>
          <w:rStyle w:val="Refdenotaderodap"/>
          <w:rFonts w:ascii="Garamond" w:hAnsi="Garamond"/>
          <w:sz w:val="24"/>
          <w:szCs w:val="24"/>
        </w:rPr>
        <w:footnoteReference w:id="3"/>
      </w:r>
      <w:r w:rsidRPr="00E06C64">
        <w:rPr>
          <w:rFonts w:ascii="Garamond" w:hAnsi="Garamond"/>
          <w:sz w:val="24"/>
          <w:szCs w:val="24"/>
        </w:rPr>
        <w:t xml:space="preserve">; </w:t>
      </w:r>
      <w:r w:rsidRPr="00E06C64">
        <w:rPr>
          <w:rFonts w:ascii="Garamond" w:hAnsi="Garamond"/>
          <w:b/>
          <w:sz w:val="24"/>
          <w:szCs w:val="24"/>
        </w:rPr>
        <w:t>b)</w:t>
      </w:r>
      <w:r w:rsidRPr="00E06C64">
        <w:rPr>
          <w:rFonts w:ascii="Garamond" w:hAnsi="Garamond"/>
          <w:sz w:val="24"/>
          <w:szCs w:val="24"/>
        </w:rPr>
        <w:t xml:space="preserve"> a lei que impõe ao senhorio o dever </w:t>
      </w:r>
      <w:r w:rsidRPr="00E06C64">
        <w:rPr>
          <w:rFonts w:ascii="Garamond" w:hAnsi="Garamond"/>
          <w:sz w:val="24"/>
          <w:szCs w:val="24"/>
        </w:rPr>
        <w:lastRenderedPageBreak/>
        <w:t>de fazer obras de conservação – não se aplica nos casos de regime de rendas condicionadas;</w:t>
      </w:r>
      <w:r>
        <w:rPr>
          <w:rFonts w:ascii="Garamond" w:hAnsi="Garamond"/>
          <w:sz w:val="24"/>
          <w:szCs w:val="24"/>
        </w:rPr>
        <w:t xml:space="preserve"> </w:t>
      </w:r>
      <w:r w:rsidRPr="00955249">
        <w:rPr>
          <w:rFonts w:ascii="Garamond" w:hAnsi="Garamond"/>
          <w:b/>
          <w:sz w:val="24"/>
          <w:szCs w:val="24"/>
        </w:rPr>
        <w:t>c)</w:t>
      </w:r>
      <w:r w:rsidRPr="00955249">
        <w:rPr>
          <w:rFonts w:ascii="Garamond" w:hAnsi="Garamond"/>
          <w:sz w:val="24"/>
          <w:szCs w:val="24"/>
        </w:rPr>
        <w:t xml:space="preserve"> a norma que proíbe a entrada nos jardins e parques públicos de quaisquer veículos com motor – não se aplica aos deficientes que se desloquem através de cadeiras de roda movidas por motor.</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 xml:space="preserve">19.1.5. Extensão teleológica – </w:t>
      </w:r>
      <w:r w:rsidRPr="00E06C64">
        <w:rPr>
          <w:rFonts w:ascii="Garamond" w:hAnsi="Garamond"/>
          <w:sz w:val="24"/>
          <w:szCs w:val="24"/>
        </w:rPr>
        <w:t>deve-se estender a letra da lei para além do significado literal possível, com base numa nova consideração do elemento teleológico. V.</w:t>
      </w:r>
      <w:proofErr w:type="gramStart"/>
      <w:r w:rsidRPr="00E06C64">
        <w:rPr>
          <w:rFonts w:ascii="Garamond" w:hAnsi="Garamond"/>
          <w:sz w:val="24"/>
          <w:szCs w:val="24"/>
        </w:rPr>
        <w:t>g.</w:t>
      </w:r>
      <w:proofErr w:type="gramEnd"/>
      <w:r w:rsidRPr="00E06C64">
        <w:rPr>
          <w:rFonts w:ascii="Garamond" w:hAnsi="Garamond"/>
          <w:sz w:val="24"/>
          <w:szCs w:val="24"/>
        </w:rPr>
        <w:t xml:space="preserve">: </w:t>
      </w:r>
      <w:r w:rsidRPr="00E06C64">
        <w:rPr>
          <w:rFonts w:ascii="Garamond" w:hAnsi="Garamond"/>
          <w:b/>
          <w:sz w:val="24"/>
          <w:szCs w:val="24"/>
        </w:rPr>
        <w:t>a)</w:t>
      </w:r>
      <w:r w:rsidRPr="00E06C64">
        <w:rPr>
          <w:rFonts w:ascii="Garamond" w:hAnsi="Garamond"/>
          <w:sz w:val="24"/>
          <w:szCs w:val="24"/>
        </w:rPr>
        <w:t xml:space="preserve"> o </w:t>
      </w:r>
      <w:proofErr w:type="spellStart"/>
      <w:r w:rsidRPr="00E06C64">
        <w:rPr>
          <w:rFonts w:ascii="Garamond" w:hAnsi="Garamond"/>
          <w:sz w:val="24"/>
          <w:szCs w:val="24"/>
        </w:rPr>
        <w:t>art</w:t>
      </w:r>
      <w:proofErr w:type="spellEnd"/>
      <w:r w:rsidRPr="00E06C64">
        <w:rPr>
          <w:rFonts w:ascii="Garamond" w:hAnsi="Garamond"/>
          <w:sz w:val="24"/>
          <w:szCs w:val="24"/>
        </w:rPr>
        <w:t xml:space="preserve">. 844.º, 2.º parágrafo do BGB fixa ao responsável por acidente que causou a morte do marido de alguém </w:t>
      </w:r>
      <w:r w:rsidRPr="00E06C64">
        <w:rPr>
          <w:rFonts w:ascii="Garamond" w:hAnsi="Garamond"/>
          <w:i/>
          <w:sz w:val="24"/>
          <w:szCs w:val="24"/>
        </w:rPr>
        <w:t xml:space="preserve">uma indemnização por danos através do pagamento de uma pensão pecuniária para o sustento da viúva durante o tempo presumível da vida do de </w:t>
      </w:r>
      <w:proofErr w:type="spellStart"/>
      <w:r w:rsidRPr="00E06C64">
        <w:rPr>
          <w:rFonts w:ascii="Garamond" w:hAnsi="Garamond"/>
          <w:i/>
          <w:sz w:val="24"/>
          <w:szCs w:val="24"/>
        </w:rPr>
        <w:t>cujus</w:t>
      </w:r>
      <w:proofErr w:type="spellEnd"/>
      <w:r w:rsidRPr="00E06C64">
        <w:rPr>
          <w:rFonts w:ascii="Garamond" w:hAnsi="Garamond"/>
          <w:i/>
          <w:sz w:val="24"/>
          <w:szCs w:val="24"/>
        </w:rPr>
        <w:t xml:space="preserve"> – </w:t>
      </w:r>
      <w:r w:rsidRPr="00E06C64">
        <w:rPr>
          <w:rFonts w:ascii="Garamond" w:hAnsi="Garamond"/>
          <w:sz w:val="24"/>
          <w:szCs w:val="24"/>
        </w:rPr>
        <w:t>esta indemnização</w:t>
      </w:r>
      <w:r w:rsidRPr="00E06C64">
        <w:rPr>
          <w:rFonts w:ascii="Garamond" w:hAnsi="Garamond"/>
          <w:i/>
          <w:sz w:val="24"/>
          <w:szCs w:val="24"/>
        </w:rPr>
        <w:t xml:space="preserve"> </w:t>
      </w:r>
      <w:r w:rsidRPr="00E06C64">
        <w:rPr>
          <w:rFonts w:ascii="Garamond" w:hAnsi="Garamond"/>
          <w:sz w:val="24"/>
          <w:szCs w:val="24"/>
        </w:rPr>
        <w:t>também abrange uma pensão de velhice com duração até ao fim da vida da viúva, que existiria se o marido tivesse pago as respectivas quotas</w:t>
      </w:r>
      <w:r w:rsidRPr="00E06C64">
        <w:rPr>
          <w:rStyle w:val="Refdenotaderodap"/>
          <w:rFonts w:ascii="Garamond" w:hAnsi="Garamond"/>
          <w:sz w:val="24"/>
          <w:szCs w:val="24"/>
        </w:rPr>
        <w:footnoteReference w:id="4"/>
      </w:r>
      <w:r w:rsidRPr="00E06C64">
        <w:rPr>
          <w:rFonts w:ascii="Garamond" w:hAnsi="Garamond"/>
          <w:sz w:val="24"/>
          <w:szCs w:val="24"/>
        </w:rPr>
        <w:t xml:space="preserve">; </w:t>
      </w:r>
      <w:r w:rsidRPr="00E06C64">
        <w:rPr>
          <w:rFonts w:ascii="Garamond" w:hAnsi="Garamond"/>
          <w:b/>
          <w:sz w:val="24"/>
          <w:szCs w:val="24"/>
        </w:rPr>
        <w:t xml:space="preserve">b) </w:t>
      </w:r>
      <w:r w:rsidRPr="00E06C64">
        <w:rPr>
          <w:rFonts w:ascii="Garamond" w:hAnsi="Garamond"/>
          <w:sz w:val="24"/>
          <w:szCs w:val="24"/>
        </w:rPr>
        <w:t xml:space="preserve">a norma que </w:t>
      </w:r>
      <w:r w:rsidRPr="00E06C64">
        <w:rPr>
          <w:rFonts w:ascii="Garamond" w:hAnsi="Garamond"/>
          <w:i/>
          <w:sz w:val="24"/>
          <w:szCs w:val="24"/>
        </w:rPr>
        <w:t>não permite aos docentes acumular funções no ensino particular, se estes beneficiarem de dispensa de actividade docente durante um ano escolar a fim de realizarem trabalhos de investigação,</w:t>
      </w:r>
      <w:r w:rsidRPr="00E06C64">
        <w:rPr>
          <w:rFonts w:ascii="Garamond" w:hAnsi="Garamond"/>
          <w:sz w:val="24"/>
          <w:szCs w:val="24"/>
        </w:rPr>
        <w:t xml:space="preserve"> não se deve circunscrever à regência de disciplinas integrantes de um curso no ensino particular, mas deverá também abranger as funções de direcção ou gestão que os docentes desempenhem nas escolas particulares, pois embora a letra da lei abranja somente a primeira situação, a sua teleologia parece incluir todas as actividades do tipo mencionadas susceptíveis de dispersarem ou absorverem em termos intoleráveis o docente (com frequência muito mais que a simples regência de cadeiras)</w:t>
      </w:r>
      <w:r w:rsidRPr="00E06C64">
        <w:rPr>
          <w:rStyle w:val="Refdenotaderodap"/>
          <w:rFonts w:ascii="Garamond" w:hAnsi="Garamond"/>
          <w:sz w:val="24"/>
          <w:szCs w:val="24"/>
        </w:rPr>
        <w:footnoteReference w:id="5"/>
      </w:r>
      <w:r w:rsidRPr="00E06C64">
        <w:rPr>
          <w:rFonts w:ascii="Garamond" w:hAnsi="Garamond"/>
          <w:sz w:val="24"/>
          <w:szCs w:val="24"/>
        </w:rPr>
        <w:t xml:space="preserve">. </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 xml:space="preserve">19.1.6. Interpretação enunciativa </w:t>
      </w:r>
      <w:r w:rsidRPr="00E06C64">
        <w:rPr>
          <w:rFonts w:ascii="Garamond" w:hAnsi="Garamond"/>
          <w:sz w:val="24"/>
          <w:szCs w:val="24"/>
        </w:rPr>
        <w:t>– depois de determinado o sentido da regra pela via da interpretação, vai-se retirar uma outra regra implícita com base em argumentos lógico-jurídicos</w:t>
      </w:r>
      <w:r w:rsidRPr="00E06C64">
        <w:rPr>
          <w:rStyle w:val="Refdenotaderodap"/>
          <w:rFonts w:ascii="Garamond" w:hAnsi="Garamond"/>
          <w:sz w:val="24"/>
          <w:szCs w:val="24"/>
        </w:rPr>
        <w:footnoteReference w:id="6"/>
      </w:r>
      <w:r w:rsidRPr="00E06C64">
        <w:rPr>
          <w:rFonts w:ascii="Garamond" w:hAnsi="Garamond"/>
          <w:sz w:val="24"/>
          <w:szCs w:val="24"/>
        </w:rPr>
        <w:t xml:space="preserve">. V.g., os já referidos: </w:t>
      </w:r>
      <w:r w:rsidRPr="00E06C64">
        <w:rPr>
          <w:rFonts w:ascii="Garamond" w:hAnsi="Garamond"/>
          <w:b/>
          <w:sz w:val="24"/>
          <w:szCs w:val="24"/>
        </w:rPr>
        <w:t>a)</w:t>
      </w:r>
      <w:r w:rsidRPr="00E06C64">
        <w:rPr>
          <w:rFonts w:ascii="Garamond" w:hAnsi="Garamond"/>
          <w:sz w:val="24"/>
          <w:szCs w:val="24"/>
        </w:rPr>
        <w:t xml:space="preserve"> a lei que proíbe o menos, proíbe o mais – se os menores de 21 anos não podem administrar os bens, também não os podem vender; </w:t>
      </w:r>
      <w:r w:rsidRPr="00E06C64">
        <w:rPr>
          <w:rFonts w:ascii="Garamond" w:hAnsi="Garamond"/>
          <w:b/>
          <w:sz w:val="24"/>
          <w:szCs w:val="24"/>
        </w:rPr>
        <w:t xml:space="preserve">b) </w:t>
      </w:r>
      <w:r w:rsidRPr="00E06C64">
        <w:rPr>
          <w:rFonts w:ascii="Garamond" w:hAnsi="Garamond"/>
          <w:sz w:val="24"/>
          <w:szCs w:val="24"/>
        </w:rPr>
        <w:t xml:space="preserve">a lei que permite o mais, permite o menos – se é possível vender certo bem, também se pode emprestar; </w:t>
      </w:r>
      <w:r w:rsidRPr="000713E0">
        <w:rPr>
          <w:rFonts w:ascii="Garamond" w:hAnsi="Garamond"/>
          <w:b/>
          <w:sz w:val="24"/>
          <w:szCs w:val="24"/>
        </w:rPr>
        <w:t>c)</w:t>
      </w:r>
      <w:r w:rsidRPr="000713E0">
        <w:rPr>
          <w:rFonts w:ascii="Garamond" w:hAnsi="Garamond"/>
          <w:sz w:val="24"/>
          <w:szCs w:val="24"/>
        </w:rPr>
        <w:t xml:space="preserve"> o regime excepcional permite determinar o regime regra - da obrigatoriedade de inspeccionar veículos antigos, deduz-se a regra da não inspecção de veículos novos;</w:t>
      </w:r>
      <w:r w:rsidRPr="000713E0">
        <w:rPr>
          <w:rFonts w:ascii="Garamond" w:hAnsi="Garamond"/>
          <w:i/>
          <w:sz w:val="24"/>
          <w:szCs w:val="24"/>
        </w:rPr>
        <w:t xml:space="preserve"> </w:t>
      </w:r>
      <w:r w:rsidRPr="000713E0">
        <w:rPr>
          <w:rFonts w:ascii="Garamond" w:hAnsi="Garamond"/>
          <w:b/>
          <w:sz w:val="24"/>
          <w:szCs w:val="24"/>
        </w:rPr>
        <w:t>d)</w:t>
      </w:r>
      <w:r w:rsidRPr="00E06C64">
        <w:rPr>
          <w:rFonts w:ascii="Garamond" w:hAnsi="Garamond"/>
          <w:i/>
          <w:sz w:val="24"/>
          <w:szCs w:val="24"/>
        </w:rPr>
        <w:t xml:space="preserve"> </w:t>
      </w:r>
      <w:r w:rsidRPr="00E06C64">
        <w:rPr>
          <w:rFonts w:ascii="Garamond" w:hAnsi="Garamond"/>
          <w:sz w:val="24"/>
          <w:szCs w:val="24"/>
        </w:rPr>
        <w:t xml:space="preserve">da lei que concede o direito de voto aos cidadãos estrangeiros com residência em certo país por um período superior a cinco anos, é possível inferir a regra de que os cidadãos com residência em certo país por um período igual ou inferior a cinco anos não têm o direito de </w:t>
      </w:r>
      <w:r w:rsidRPr="00E06C64">
        <w:rPr>
          <w:rFonts w:ascii="Garamond" w:hAnsi="Garamond"/>
          <w:sz w:val="24"/>
          <w:szCs w:val="24"/>
        </w:rPr>
        <w:lastRenderedPageBreak/>
        <w:t>voto</w:t>
      </w:r>
      <w:r>
        <w:rPr>
          <w:rFonts w:ascii="Garamond" w:hAnsi="Garamond"/>
          <w:sz w:val="24"/>
          <w:szCs w:val="24"/>
        </w:rPr>
        <w:t xml:space="preserve">; </w:t>
      </w:r>
      <w:r>
        <w:rPr>
          <w:rFonts w:ascii="Garamond" w:hAnsi="Garamond"/>
          <w:b/>
          <w:sz w:val="24"/>
          <w:szCs w:val="24"/>
        </w:rPr>
        <w:t>e</w:t>
      </w:r>
      <w:r w:rsidRPr="00E06C64">
        <w:rPr>
          <w:rFonts w:ascii="Garamond" w:hAnsi="Garamond"/>
          <w:b/>
          <w:sz w:val="24"/>
          <w:szCs w:val="24"/>
        </w:rPr>
        <w:t>)</w:t>
      </w:r>
      <w:r w:rsidRPr="00E06C64">
        <w:rPr>
          <w:rFonts w:ascii="Garamond" w:hAnsi="Garamond"/>
          <w:i/>
          <w:sz w:val="24"/>
          <w:szCs w:val="24"/>
        </w:rPr>
        <w:t xml:space="preserve"> </w:t>
      </w:r>
      <w:r w:rsidRPr="00E06C64">
        <w:rPr>
          <w:rFonts w:ascii="Garamond" w:hAnsi="Garamond"/>
          <w:sz w:val="24"/>
          <w:szCs w:val="24"/>
        </w:rPr>
        <w:t xml:space="preserve">a legitimidade dos fins </w:t>
      </w:r>
      <w:proofErr w:type="gramStart"/>
      <w:r w:rsidRPr="00E06C64">
        <w:rPr>
          <w:rFonts w:ascii="Garamond" w:hAnsi="Garamond"/>
          <w:sz w:val="24"/>
          <w:szCs w:val="24"/>
        </w:rPr>
        <w:t>legitima</w:t>
      </w:r>
      <w:proofErr w:type="gramEnd"/>
      <w:r w:rsidRPr="00E06C64">
        <w:rPr>
          <w:rFonts w:ascii="Garamond" w:hAnsi="Garamond"/>
          <w:i/>
          <w:sz w:val="24"/>
          <w:szCs w:val="24"/>
        </w:rPr>
        <w:t xml:space="preserve"> </w:t>
      </w:r>
      <w:r w:rsidRPr="00E06C64">
        <w:rPr>
          <w:rFonts w:ascii="Garamond" w:hAnsi="Garamond"/>
          <w:sz w:val="24"/>
          <w:szCs w:val="24"/>
        </w:rPr>
        <w:t>os meios – se se permite a caça, também é legal a compra de espingardas.</w:t>
      </w:r>
    </w:p>
    <w:p w:rsidR="00955249" w:rsidRPr="00E06C64" w:rsidRDefault="00955249" w:rsidP="00955249">
      <w:pPr>
        <w:spacing w:line="360" w:lineRule="auto"/>
        <w:jc w:val="both"/>
        <w:rPr>
          <w:rFonts w:ascii="Garamond" w:hAnsi="Garamond"/>
          <w:sz w:val="24"/>
          <w:szCs w:val="24"/>
        </w:rPr>
      </w:pPr>
      <w:r w:rsidRPr="00E06C64">
        <w:rPr>
          <w:rFonts w:ascii="Garamond" w:hAnsi="Garamond"/>
          <w:sz w:val="24"/>
          <w:szCs w:val="24"/>
        </w:rPr>
        <w:t xml:space="preserve"> </w:t>
      </w:r>
      <w:r w:rsidRPr="00E06C64">
        <w:rPr>
          <w:rFonts w:ascii="Garamond" w:hAnsi="Garamond"/>
          <w:b/>
          <w:sz w:val="24"/>
          <w:szCs w:val="24"/>
        </w:rPr>
        <w:t xml:space="preserve">19.1.7. Analogia </w:t>
      </w:r>
      <w:proofErr w:type="spellStart"/>
      <w:r w:rsidRPr="00E06C64">
        <w:rPr>
          <w:rFonts w:ascii="Garamond" w:hAnsi="Garamond"/>
          <w:b/>
          <w:i/>
          <w:sz w:val="24"/>
          <w:szCs w:val="24"/>
        </w:rPr>
        <w:t>legis</w:t>
      </w:r>
      <w:proofErr w:type="spellEnd"/>
      <w:r w:rsidRPr="00E06C64">
        <w:rPr>
          <w:rFonts w:ascii="Garamond" w:hAnsi="Garamond"/>
          <w:b/>
          <w:sz w:val="24"/>
          <w:szCs w:val="24"/>
        </w:rPr>
        <w:t xml:space="preserve"> – </w:t>
      </w:r>
      <w:r w:rsidRPr="00E06C64">
        <w:rPr>
          <w:rFonts w:ascii="Garamond" w:hAnsi="Garamond"/>
          <w:sz w:val="24"/>
          <w:szCs w:val="24"/>
        </w:rPr>
        <w:t>se pela via da interpretação chegarmos à conclusão de que não existe uma regra para resolver o caso, devemos procurar uma outra regra no ordenamento jurídico aplicável a situação diversa, mas em relação à qual procedam os mesmas razões justificativas do regime. V.g., os já referidos</w:t>
      </w:r>
      <w:r w:rsidRPr="00E06C64">
        <w:rPr>
          <w:rStyle w:val="Refdenotaderodap"/>
          <w:rFonts w:ascii="Garamond" w:hAnsi="Garamond"/>
          <w:sz w:val="24"/>
          <w:szCs w:val="24"/>
        </w:rPr>
        <w:footnoteReference w:id="7"/>
      </w:r>
      <w:r w:rsidRPr="00E06C64">
        <w:rPr>
          <w:rFonts w:ascii="Garamond" w:hAnsi="Garamond"/>
          <w:sz w:val="24"/>
          <w:szCs w:val="24"/>
        </w:rPr>
        <w:t xml:space="preserve">: </w:t>
      </w:r>
      <w:r w:rsidRPr="00E06C64">
        <w:rPr>
          <w:rFonts w:ascii="Garamond" w:hAnsi="Garamond"/>
          <w:b/>
          <w:sz w:val="24"/>
          <w:szCs w:val="24"/>
        </w:rPr>
        <w:t>a)</w:t>
      </w:r>
      <w:r w:rsidRPr="00E06C64">
        <w:rPr>
          <w:rFonts w:ascii="Garamond" w:hAnsi="Garamond"/>
          <w:sz w:val="24"/>
          <w:szCs w:val="24"/>
        </w:rPr>
        <w:t xml:space="preserve"> aplicar o regime dos poderes extraordinários das Forças Armadas em situação de perturbação da ordem pública, às situações de calamidade pública;</w:t>
      </w:r>
      <w:r w:rsidRPr="00E06C64">
        <w:rPr>
          <w:rFonts w:ascii="Garamond" w:hAnsi="Garamond"/>
          <w:b/>
          <w:sz w:val="24"/>
          <w:szCs w:val="24"/>
        </w:rPr>
        <w:t xml:space="preserve"> b) </w:t>
      </w:r>
      <w:r w:rsidRPr="00E06C64">
        <w:rPr>
          <w:rFonts w:ascii="Garamond" w:hAnsi="Garamond"/>
          <w:sz w:val="24"/>
          <w:szCs w:val="24"/>
        </w:rPr>
        <w:t>aplicar o regime de navegação marítima às situações de navegação aérea;</w:t>
      </w:r>
      <w:r w:rsidRPr="00E06C64">
        <w:rPr>
          <w:rFonts w:ascii="Garamond" w:hAnsi="Garamond"/>
          <w:b/>
          <w:sz w:val="24"/>
          <w:szCs w:val="24"/>
        </w:rPr>
        <w:t xml:space="preserve"> c) </w:t>
      </w:r>
      <w:r w:rsidRPr="00E06C64">
        <w:rPr>
          <w:rFonts w:ascii="Garamond" w:hAnsi="Garamond"/>
          <w:sz w:val="24"/>
          <w:szCs w:val="24"/>
        </w:rPr>
        <w:t>aplicar o regime de difusão televisiva por sistema hertziano tradicional, ao sistema de difusão por cabo;</w:t>
      </w:r>
      <w:r w:rsidRPr="00E06C64">
        <w:rPr>
          <w:rFonts w:ascii="Garamond" w:hAnsi="Garamond"/>
          <w:b/>
          <w:sz w:val="24"/>
          <w:szCs w:val="24"/>
        </w:rPr>
        <w:t xml:space="preserve"> d) </w:t>
      </w:r>
      <w:r w:rsidRPr="00E06C64">
        <w:rPr>
          <w:rFonts w:ascii="Garamond" w:hAnsi="Garamond"/>
          <w:sz w:val="24"/>
          <w:szCs w:val="24"/>
        </w:rPr>
        <w:t>aplicar as regras sobre sociedades por quotas às sociedades anónimas.</w:t>
      </w:r>
    </w:p>
    <w:p w:rsidR="00955249" w:rsidRPr="00E06C64" w:rsidRDefault="00955249" w:rsidP="00955249">
      <w:pPr>
        <w:jc w:val="both"/>
        <w:rPr>
          <w:rFonts w:ascii="Garamond" w:hAnsi="Garamond"/>
          <w:sz w:val="24"/>
          <w:szCs w:val="24"/>
        </w:rPr>
      </w:pPr>
    </w:p>
    <w:p w:rsidR="00955249" w:rsidRPr="00E06C64" w:rsidRDefault="00955249" w:rsidP="00955249">
      <w:pPr>
        <w:jc w:val="both"/>
        <w:rPr>
          <w:rFonts w:ascii="Garamond" w:hAnsi="Garamond"/>
          <w:b/>
          <w:sz w:val="24"/>
          <w:szCs w:val="24"/>
        </w:rPr>
      </w:pPr>
      <w:r w:rsidRPr="00E06C64">
        <w:rPr>
          <w:rFonts w:ascii="Garamond" w:hAnsi="Garamond"/>
          <w:b/>
          <w:sz w:val="24"/>
          <w:szCs w:val="24"/>
        </w:rPr>
        <w:t>19.2. Dúvidas suscitadas na doutrina</w:t>
      </w:r>
    </w:p>
    <w:p w:rsidR="00955249" w:rsidRPr="00E06C64" w:rsidRDefault="00955249" w:rsidP="00955249">
      <w:pPr>
        <w:spacing w:after="0" w:line="240" w:lineRule="auto"/>
        <w:jc w:val="both"/>
        <w:rPr>
          <w:rFonts w:ascii="Garamond" w:hAnsi="Garamond"/>
          <w:b/>
          <w:sz w:val="24"/>
          <w:szCs w:val="24"/>
        </w:rPr>
      </w:pPr>
    </w:p>
    <w:p w:rsidR="00955249" w:rsidRPr="00E06C64" w:rsidRDefault="00955249" w:rsidP="00955249">
      <w:pPr>
        <w:spacing w:after="120"/>
        <w:jc w:val="both"/>
        <w:rPr>
          <w:rFonts w:ascii="Garamond" w:hAnsi="Garamond"/>
          <w:b/>
          <w:sz w:val="24"/>
          <w:szCs w:val="24"/>
        </w:rPr>
      </w:pPr>
      <w:r w:rsidRPr="00E06C64">
        <w:rPr>
          <w:rFonts w:ascii="Garamond" w:hAnsi="Garamond"/>
          <w:b/>
          <w:sz w:val="24"/>
          <w:szCs w:val="24"/>
        </w:rPr>
        <w:t>19.2.1. Analogia e interpretação extensiva</w:t>
      </w:r>
    </w:p>
    <w:p w:rsidR="00955249" w:rsidRPr="00E06C64" w:rsidRDefault="00955249" w:rsidP="00955249">
      <w:pPr>
        <w:spacing w:after="120" w:line="360" w:lineRule="auto"/>
        <w:jc w:val="both"/>
        <w:rPr>
          <w:rFonts w:ascii="Garamond" w:hAnsi="Garamond"/>
          <w:sz w:val="24"/>
          <w:szCs w:val="24"/>
        </w:rPr>
      </w:pPr>
      <w:r w:rsidRPr="00E06C64">
        <w:rPr>
          <w:rFonts w:ascii="Garamond" w:hAnsi="Garamond"/>
          <w:sz w:val="24"/>
          <w:szCs w:val="24"/>
        </w:rPr>
        <w:t xml:space="preserve">A distinção entre analogia </w:t>
      </w:r>
      <w:proofErr w:type="spellStart"/>
      <w:r w:rsidRPr="00E06C64">
        <w:rPr>
          <w:rFonts w:ascii="Garamond" w:hAnsi="Garamond"/>
          <w:i/>
          <w:sz w:val="24"/>
          <w:szCs w:val="24"/>
        </w:rPr>
        <w:t>legis</w:t>
      </w:r>
      <w:proofErr w:type="spellEnd"/>
      <w:r w:rsidRPr="00E06C64">
        <w:rPr>
          <w:rFonts w:ascii="Garamond" w:hAnsi="Garamond"/>
          <w:sz w:val="24"/>
          <w:szCs w:val="24"/>
        </w:rPr>
        <w:t xml:space="preserve"> e interpretação extensiva em termos teóricos parece fácil, contudo na prática é muito difícil de apurar, pois não é fácil descobrir a correcta linha de fronteira entre ambas</w:t>
      </w:r>
      <w:r>
        <w:rPr>
          <w:rStyle w:val="Refdenotaderodap"/>
          <w:rFonts w:ascii="Garamond" w:hAnsi="Garamond"/>
          <w:sz w:val="24"/>
          <w:szCs w:val="24"/>
        </w:rPr>
        <w:footnoteReference w:id="8"/>
      </w:r>
      <w:r w:rsidRPr="00E06C64">
        <w:rPr>
          <w:rFonts w:ascii="Garamond" w:hAnsi="Garamond"/>
          <w:sz w:val="24"/>
          <w:szCs w:val="24"/>
        </w:rPr>
        <w:t xml:space="preserve">. Genericamente pode-se dizer que na </w:t>
      </w:r>
      <w:r w:rsidRPr="00E06C64">
        <w:rPr>
          <w:rFonts w:ascii="Garamond" w:hAnsi="Garamond"/>
          <w:sz w:val="24"/>
          <w:szCs w:val="24"/>
          <w:u w:val="single"/>
        </w:rPr>
        <w:t>integração</w:t>
      </w:r>
      <w:r w:rsidRPr="00E06C64">
        <w:rPr>
          <w:rFonts w:ascii="Garamond" w:hAnsi="Garamond"/>
          <w:sz w:val="24"/>
          <w:szCs w:val="24"/>
        </w:rPr>
        <w:t xml:space="preserve"> o caso não está compreendido nem na letra nem no espírito da lei, </w:t>
      </w:r>
      <w:proofErr w:type="gramStart"/>
      <w:r w:rsidRPr="00E06C64">
        <w:rPr>
          <w:rFonts w:ascii="Garamond" w:hAnsi="Garamond"/>
          <w:sz w:val="24"/>
          <w:szCs w:val="24"/>
        </w:rPr>
        <w:t>enquanto que</w:t>
      </w:r>
      <w:proofErr w:type="gramEnd"/>
      <w:r w:rsidRPr="00E06C64">
        <w:rPr>
          <w:rFonts w:ascii="Garamond" w:hAnsi="Garamond"/>
          <w:sz w:val="24"/>
          <w:szCs w:val="24"/>
        </w:rPr>
        <w:t xml:space="preserve"> na interpretação</w:t>
      </w:r>
      <w:r w:rsidRPr="00C3656B">
        <w:rPr>
          <w:rFonts w:ascii="Garamond" w:hAnsi="Garamond"/>
          <w:sz w:val="24"/>
          <w:szCs w:val="24"/>
        </w:rPr>
        <w:t xml:space="preserve"> </w:t>
      </w:r>
      <w:r w:rsidRPr="00E06C64">
        <w:rPr>
          <w:rFonts w:ascii="Garamond" w:hAnsi="Garamond"/>
          <w:sz w:val="24"/>
          <w:szCs w:val="24"/>
          <w:u w:val="single"/>
        </w:rPr>
        <w:t>extensiva</w:t>
      </w:r>
      <w:r w:rsidRPr="00E06C64">
        <w:rPr>
          <w:rFonts w:ascii="Garamond" w:hAnsi="Garamond"/>
          <w:sz w:val="24"/>
          <w:szCs w:val="24"/>
        </w:rPr>
        <w:t xml:space="preserve"> o caso não está previsto na letra, mas está no espírito da lei (e não repugna à letra)</w:t>
      </w:r>
      <w:r>
        <w:rPr>
          <w:rStyle w:val="Refdenotaderodap"/>
          <w:rFonts w:ascii="Garamond" w:hAnsi="Garamond"/>
          <w:sz w:val="24"/>
          <w:szCs w:val="24"/>
        </w:rPr>
        <w:footnoteReference w:id="9"/>
      </w:r>
      <w:r w:rsidRPr="00E06C64">
        <w:rPr>
          <w:rFonts w:ascii="Garamond" w:hAnsi="Garamond"/>
          <w:sz w:val="24"/>
          <w:szCs w:val="24"/>
        </w:rPr>
        <w:t>.</w:t>
      </w:r>
    </w:p>
    <w:p w:rsidR="00955249" w:rsidRPr="00E06C64" w:rsidRDefault="00955249" w:rsidP="00955249">
      <w:pPr>
        <w:spacing w:line="360" w:lineRule="auto"/>
        <w:jc w:val="both"/>
        <w:rPr>
          <w:rFonts w:ascii="Garamond" w:hAnsi="Garamond"/>
          <w:i/>
          <w:sz w:val="24"/>
          <w:szCs w:val="24"/>
        </w:rPr>
      </w:pPr>
      <w:r w:rsidRPr="00E06C64">
        <w:rPr>
          <w:rFonts w:ascii="Garamond" w:hAnsi="Garamond"/>
          <w:sz w:val="24"/>
          <w:szCs w:val="24"/>
        </w:rPr>
        <w:t xml:space="preserve">Vejamos alguns </w:t>
      </w:r>
      <w:r w:rsidRPr="00E06C64">
        <w:rPr>
          <w:rFonts w:ascii="Garamond" w:hAnsi="Garamond"/>
          <w:sz w:val="24"/>
          <w:szCs w:val="24"/>
          <w:u w:val="single"/>
        </w:rPr>
        <w:t>exemplos práticos</w:t>
      </w:r>
      <w:r w:rsidRPr="00E06C64">
        <w:rPr>
          <w:rFonts w:ascii="Garamond" w:hAnsi="Garamond"/>
          <w:sz w:val="24"/>
          <w:szCs w:val="24"/>
        </w:rPr>
        <w:t xml:space="preserve">, apresentados por Karl </w:t>
      </w:r>
      <w:proofErr w:type="spellStart"/>
      <w:r w:rsidRPr="00E06C64">
        <w:rPr>
          <w:rFonts w:ascii="Garamond" w:hAnsi="Garamond"/>
          <w:sz w:val="24"/>
          <w:szCs w:val="24"/>
        </w:rPr>
        <w:t>Engisch</w:t>
      </w:r>
      <w:proofErr w:type="spellEnd"/>
      <w:r w:rsidRPr="00E06C64">
        <w:rPr>
          <w:rFonts w:ascii="Garamond" w:hAnsi="Garamond"/>
          <w:sz w:val="24"/>
          <w:szCs w:val="24"/>
        </w:rPr>
        <w:t xml:space="preserve"> e Karl </w:t>
      </w:r>
      <w:proofErr w:type="spellStart"/>
      <w:r w:rsidRPr="00E06C64">
        <w:rPr>
          <w:rFonts w:ascii="Garamond" w:hAnsi="Garamond"/>
          <w:sz w:val="24"/>
          <w:szCs w:val="24"/>
        </w:rPr>
        <w:t>Larenz</w:t>
      </w:r>
      <w:proofErr w:type="spellEnd"/>
      <w:r w:rsidRPr="00E06C64">
        <w:rPr>
          <w:rFonts w:ascii="Garamond" w:hAnsi="Garamond"/>
          <w:sz w:val="24"/>
          <w:szCs w:val="24"/>
        </w:rPr>
        <w:t>, que geraram dúvida na doutrina e jurisprudência alemãs:</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1.</w:t>
      </w:r>
      <w:r w:rsidRPr="00E06C64">
        <w:rPr>
          <w:rFonts w:ascii="Garamond" w:hAnsi="Garamond"/>
          <w:sz w:val="24"/>
          <w:szCs w:val="24"/>
        </w:rPr>
        <w:t xml:space="preserve"> A jurisprudência do Tribunal Federal considerou que o ácido clorídrico era uma arma para efeitos de aplicação do </w:t>
      </w:r>
      <w:proofErr w:type="spellStart"/>
      <w:r w:rsidRPr="00E06C64">
        <w:rPr>
          <w:rFonts w:ascii="Garamond" w:hAnsi="Garamond"/>
          <w:sz w:val="24"/>
          <w:szCs w:val="24"/>
        </w:rPr>
        <w:t>art</w:t>
      </w:r>
      <w:proofErr w:type="spellEnd"/>
      <w:r w:rsidRPr="00E06C64">
        <w:rPr>
          <w:rFonts w:ascii="Garamond" w:hAnsi="Garamond"/>
          <w:sz w:val="24"/>
          <w:szCs w:val="24"/>
        </w:rPr>
        <w:t xml:space="preserve">. 223.º do Código Penal alemão (arma por interpretação </w:t>
      </w:r>
      <w:r w:rsidRPr="00E06C64">
        <w:rPr>
          <w:rFonts w:ascii="Garamond" w:hAnsi="Garamond"/>
          <w:sz w:val="24"/>
          <w:szCs w:val="24"/>
        </w:rPr>
        <w:lastRenderedPageBreak/>
        <w:t xml:space="preserve">extensiva também inclui meios que actuam quimicamente) - no entanto, Karl </w:t>
      </w:r>
      <w:proofErr w:type="spellStart"/>
      <w:r w:rsidRPr="00E06C64">
        <w:rPr>
          <w:rFonts w:ascii="Garamond" w:hAnsi="Garamond"/>
          <w:sz w:val="24"/>
          <w:szCs w:val="24"/>
        </w:rPr>
        <w:t>Engisch</w:t>
      </w:r>
      <w:proofErr w:type="spellEnd"/>
      <w:r w:rsidRPr="00E06C64">
        <w:rPr>
          <w:rFonts w:ascii="Garamond" w:hAnsi="Garamond"/>
          <w:sz w:val="24"/>
          <w:szCs w:val="24"/>
        </w:rPr>
        <w:t xml:space="preserve"> questiona esta posição</w:t>
      </w:r>
      <w:r w:rsidRPr="00E06C64">
        <w:rPr>
          <w:rStyle w:val="Refdenotaderodap"/>
          <w:rFonts w:ascii="Garamond" w:hAnsi="Garamond"/>
          <w:sz w:val="24"/>
          <w:szCs w:val="24"/>
        </w:rPr>
        <w:footnoteReference w:id="10"/>
      </w:r>
      <w:r w:rsidRPr="00E06C64">
        <w:rPr>
          <w:rFonts w:ascii="Garamond" w:hAnsi="Garamond"/>
          <w:sz w:val="24"/>
          <w:szCs w:val="24"/>
        </w:rPr>
        <w:t>;</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2.</w:t>
      </w:r>
      <w:r w:rsidRPr="00E06C64">
        <w:rPr>
          <w:rFonts w:ascii="Garamond" w:hAnsi="Garamond"/>
          <w:sz w:val="24"/>
          <w:szCs w:val="24"/>
        </w:rPr>
        <w:t xml:space="preserve"> Discutiu-se, também, punir como violação de domicílio as chamadas nocturnas feitas com intuito malicioso, pois o </w:t>
      </w:r>
      <w:proofErr w:type="spellStart"/>
      <w:r w:rsidRPr="00E06C64">
        <w:rPr>
          <w:rFonts w:ascii="Garamond" w:hAnsi="Garamond"/>
          <w:sz w:val="24"/>
          <w:szCs w:val="24"/>
        </w:rPr>
        <w:t>art</w:t>
      </w:r>
      <w:proofErr w:type="spellEnd"/>
      <w:r w:rsidRPr="00E06C64">
        <w:rPr>
          <w:rFonts w:ascii="Garamond" w:hAnsi="Garamond"/>
          <w:sz w:val="24"/>
          <w:szCs w:val="24"/>
        </w:rPr>
        <w:t xml:space="preserve">. 123.º do Código Penal alemão exige para tal punição a “introdução na habitação” – Karl </w:t>
      </w:r>
      <w:proofErr w:type="spellStart"/>
      <w:r w:rsidRPr="00E06C64">
        <w:rPr>
          <w:rFonts w:ascii="Garamond" w:hAnsi="Garamond"/>
          <w:sz w:val="24"/>
          <w:szCs w:val="24"/>
        </w:rPr>
        <w:t>Engisch</w:t>
      </w:r>
      <w:proofErr w:type="spellEnd"/>
      <w:r w:rsidRPr="00E06C64">
        <w:rPr>
          <w:rFonts w:ascii="Garamond" w:hAnsi="Garamond"/>
          <w:sz w:val="24"/>
          <w:szCs w:val="24"/>
        </w:rPr>
        <w:t xml:space="preserve"> defende que aqui não pode haver interpretação extensiva</w:t>
      </w:r>
      <w:r w:rsidRPr="00E06C64">
        <w:rPr>
          <w:rStyle w:val="Refdenotaderodap"/>
          <w:rFonts w:ascii="Garamond" w:hAnsi="Garamond"/>
          <w:sz w:val="24"/>
          <w:szCs w:val="24"/>
        </w:rPr>
        <w:footnoteReference w:id="11"/>
      </w:r>
      <w:r w:rsidRPr="00E06C64">
        <w:rPr>
          <w:rFonts w:ascii="Garamond" w:hAnsi="Garamond"/>
          <w:sz w:val="24"/>
          <w:szCs w:val="24"/>
        </w:rPr>
        <w:t>;</w:t>
      </w:r>
    </w:p>
    <w:p w:rsidR="00955249" w:rsidRPr="00E06C64" w:rsidRDefault="00955249" w:rsidP="00955249">
      <w:pPr>
        <w:spacing w:line="360" w:lineRule="auto"/>
        <w:jc w:val="both"/>
        <w:rPr>
          <w:rFonts w:ascii="Garamond" w:hAnsi="Garamond"/>
          <w:sz w:val="24"/>
          <w:szCs w:val="24"/>
        </w:rPr>
      </w:pPr>
      <w:r w:rsidRPr="00E06C64">
        <w:rPr>
          <w:rFonts w:ascii="Garamond" w:hAnsi="Garamond"/>
          <w:b/>
          <w:sz w:val="24"/>
          <w:szCs w:val="24"/>
        </w:rPr>
        <w:t>3</w:t>
      </w:r>
      <w:r w:rsidRPr="00E06C64">
        <w:rPr>
          <w:rFonts w:ascii="Garamond" w:hAnsi="Garamond"/>
          <w:sz w:val="24"/>
          <w:szCs w:val="24"/>
        </w:rPr>
        <w:t xml:space="preserve">. O </w:t>
      </w:r>
      <w:proofErr w:type="spellStart"/>
      <w:r w:rsidRPr="00E06C64">
        <w:rPr>
          <w:rFonts w:ascii="Garamond" w:hAnsi="Garamond"/>
          <w:sz w:val="24"/>
          <w:szCs w:val="24"/>
        </w:rPr>
        <w:t>art</w:t>
      </w:r>
      <w:proofErr w:type="spellEnd"/>
      <w:r w:rsidRPr="00E06C64">
        <w:rPr>
          <w:rFonts w:ascii="Garamond" w:hAnsi="Garamond"/>
          <w:sz w:val="24"/>
          <w:szCs w:val="24"/>
        </w:rPr>
        <w:t>. 463.º, n.º 2, do BGB (o Código Civil alemão) dispõe que</w:t>
      </w:r>
      <w:r w:rsidRPr="00E06C64">
        <w:rPr>
          <w:rFonts w:ascii="Garamond" w:hAnsi="Garamond"/>
          <w:i/>
          <w:sz w:val="24"/>
          <w:szCs w:val="24"/>
        </w:rPr>
        <w:t xml:space="preserve"> “o comprador pode exigir uma indemnização por danos relativos a incumprimento se o vendedor </w:t>
      </w:r>
      <w:r w:rsidRPr="00E06C64">
        <w:rPr>
          <w:rFonts w:ascii="Garamond" w:hAnsi="Garamond"/>
          <w:i/>
          <w:sz w:val="24"/>
          <w:szCs w:val="24"/>
          <w:u w:val="single"/>
        </w:rPr>
        <w:t>oculta dolosamente</w:t>
      </w:r>
      <w:r w:rsidRPr="00E06C64">
        <w:rPr>
          <w:rFonts w:ascii="Garamond" w:hAnsi="Garamond"/>
          <w:i/>
          <w:sz w:val="24"/>
          <w:szCs w:val="24"/>
        </w:rPr>
        <w:t xml:space="preserve"> o defeito da coisa</w:t>
      </w:r>
      <w:r w:rsidRPr="00E06C64">
        <w:rPr>
          <w:rFonts w:ascii="Garamond" w:hAnsi="Garamond"/>
          <w:sz w:val="24"/>
          <w:szCs w:val="24"/>
        </w:rPr>
        <w:t xml:space="preserve">.” Diante deste preceito, coloca-se a questão de saber se o vendedor que </w:t>
      </w:r>
      <w:r w:rsidRPr="00E06C64">
        <w:rPr>
          <w:rFonts w:ascii="Garamond" w:hAnsi="Garamond"/>
          <w:sz w:val="24"/>
          <w:szCs w:val="24"/>
          <w:u w:val="single"/>
        </w:rPr>
        <w:t>simulou dolosamente</w:t>
      </w:r>
      <w:r w:rsidRPr="00E06C64">
        <w:rPr>
          <w:rFonts w:ascii="Garamond" w:hAnsi="Garamond"/>
          <w:sz w:val="24"/>
          <w:szCs w:val="24"/>
        </w:rPr>
        <w:t xml:space="preserve"> ao comprador uma qualidade inexistente da coisa, também estará abrangido por tal disposição. A lei não menciona esta situação, mas em ambos casos o vendedor aproveita-se dolosamente de um erro do comprador perfeitamente conhecido sobre a qualidade de uma coisa. Por isso, as duas situações devem ser reguladas do mesmo modo - a maioria da doutrina entende existir aqui uma lacuna que deve ser integrada pela via analógica – analogia </w:t>
      </w:r>
      <w:proofErr w:type="spellStart"/>
      <w:r w:rsidRPr="00E06C64">
        <w:rPr>
          <w:rFonts w:ascii="Garamond" w:hAnsi="Garamond"/>
          <w:i/>
          <w:sz w:val="24"/>
          <w:szCs w:val="24"/>
        </w:rPr>
        <w:t>legis</w:t>
      </w:r>
      <w:proofErr w:type="spellEnd"/>
      <w:r w:rsidRPr="00E06C64">
        <w:rPr>
          <w:rStyle w:val="Refdenotaderodap"/>
          <w:rFonts w:ascii="Garamond" w:hAnsi="Garamond"/>
          <w:sz w:val="24"/>
          <w:szCs w:val="24"/>
        </w:rPr>
        <w:footnoteReference w:id="12"/>
      </w:r>
      <w:r w:rsidRPr="00E06C64">
        <w:rPr>
          <w:rFonts w:ascii="Garamond" w:hAnsi="Garamond"/>
          <w:sz w:val="24"/>
          <w:szCs w:val="24"/>
        </w:rPr>
        <w:t>.</w:t>
      </w:r>
    </w:p>
    <w:p w:rsidR="00955249" w:rsidRPr="00E06C64" w:rsidRDefault="00955249" w:rsidP="00955249">
      <w:pPr>
        <w:spacing w:after="0" w:line="360" w:lineRule="auto"/>
        <w:jc w:val="both"/>
        <w:rPr>
          <w:rFonts w:ascii="Garamond" w:hAnsi="Garamond"/>
          <w:sz w:val="24"/>
          <w:szCs w:val="24"/>
        </w:rPr>
      </w:pPr>
    </w:p>
    <w:p w:rsidR="00955249" w:rsidRPr="00E06C64" w:rsidRDefault="00955249" w:rsidP="00955249">
      <w:pPr>
        <w:spacing w:after="120" w:line="360" w:lineRule="auto"/>
        <w:jc w:val="both"/>
        <w:rPr>
          <w:rFonts w:ascii="Garamond" w:hAnsi="Garamond"/>
          <w:sz w:val="24"/>
          <w:szCs w:val="24"/>
          <w:u w:val="single"/>
        </w:rPr>
      </w:pPr>
      <w:r w:rsidRPr="00E06C64">
        <w:rPr>
          <w:rFonts w:ascii="Garamond" w:hAnsi="Garamond"/>
          <w:sz w:val="24"/>
          <w:szCs w:val="24"/>
          <w:u w:val="single"/>
        </w:rPr>
        <w:t xml:space="preserve">Considerações </w:t>
      </w:r>
      <w:proofErr w:type="gramStart"/>
      <w:r w:rsidRPr="00E06C64">
        <w:rPr>
          <w:rFonts w:ascii="Garamond" w:hAnsi="Garamond"/>
          <w:sz w:val="24"/>
          <w:szCs w:val="24"/>
          <w:u w:val="single"/>
        </w:rPr>
        <w:t>finais</w:t>
      </w:r>
      <w:proofErr w:type="gramEnd"/>
      <w:r w:rsidRPr="00E06C64">
        <w:rPr>
          <w:rFonts w:ascii="Garamond" w:hAnsi="Garamond"/>
          <w:sz w:val="24"/>
          <w:szCs w:val="24"/>
          <w:u w:val="single"/>
        </w:rPr>
        <w:t>:</w:t>
      </w:r>
    </w:p>
    <w:p w:rsidR="00955249" w:rsidRPr="00E06C64" w:rsidRDefault="00955249" w:rsidP="00955249">
      <w:pPr>
        <w:spacing w:line="360" w:lineRule="auto"/>
        <w:jc w:val="both"/>
        <w:rPr>
          <w:rFonts w:ascii="Garamond" w:hAnsi="Garamond"/>
          <w:b/>
          <w:sz w:val="24"/>
          <w:szCs w:val="24"/>
        </w:rPr>
      </w:pPr>
      <w:r w:rsidRPr="00E06C64">
        <w:rPr>
          <w:rFonts w:ascii="Garamond" w:hAnsi="Garamond"/>
          <w:sz w:val="24"/>
          <w:szCs w:val="24"/>
        </w:rPr>
        <w:t>Para além destes exemplos, muitas outros existem onde se suscita a dúvida. E esta</w:t>
      </w:r>
      <w:r w:rsidRPr="00E06C64">
        <w:rPr>
          <w:rFonts w:ascii="Garamond" w:hAnsi="Garamond"/>
          <w:b/>
          <w:sz w:val="24"/>
          <w:szCs w:val="24"/>
        </w:rPr>
        <w:t xml:space="preserve"> </w:t>
      </w:r>
      <w:r w:rsidRPr="00E06C64">
        <w:rPr>
          <w:rFonts w:ascii="Garamond" w:hAnsi="Garamond"/>
          <w:sz w:val="24"/>
          <w:szCs w:val="24"/>
        </w:rPr>
        <w:t>dificuldade é acentuada porque alguns autores identificam a interpretação extensiva com a interpretação declarativa lata (casos em que o interprete se limita a escolher um dos sentidos possíveis do texto), falando em integração a partir do momento em que se transcendam os sentidos gramaticais.</w:t>
      </w:r>
    </w:p>
    <w:p w:rsidR="00955249" w:rsidRPr="00E06C64" w:rsidRDefault="00955249" w:rsidP="00955249">
      <w:pPr>
        <w:spacing w:line="360" w:lineRule="auto"/>
        <w:jc w:val="both"/>
        <w:rPr>
          <w:rFonts w:ascii="Garamond" w:hAnsi="Garamond"/>
          <w:sz w:val="24"/>
          <w:szCs w:val="24"/>
        </w:rPr>
      </w:pPr>
      <w:r w:rsidRPr="00E06C64">
        <w:rPr>
          <w:rFonts w:ascii="Garamond" w:hAnsi="Garamond"/>
          <w:sz w:val="24"/>
          <w:szCs w:val="24"/>
        </w:rPr>
        <w:t xml:space="preserve">Não obstante a dificuldade, a separação entre estas duas figuras é, no entanto, muito relevante, devido ao regime previsto do </w:t>
      </w:r>
      <w:proofErr w:type="spellStart"/>
      <w:r w:rsidRPr="00E06C64">
        <w:rPr>
          <w:rFonts w:ascii="Garamond" w:hAnsi="Garamond"/>
          <w:b/>
          <w:sz w:val="24"/>
          <w:szCs w:val="24"/>
        </w:rPr>
        <w:t>art</w:t>
      </w:r>
      <w:proofErr w:type="spellEnd"/>
      <w:r w:rsidRPr="00E06C64">
        <w:rPr>
          <w:rFonts w:ascii="Garamond" w:hAnsi="Garamond"/>
          <w:b/>
          <w:sz w:val="24"/>
          <w:szCs w:val="24"/>
        </w:rPr>
        <w:t>. 11.º do CC</w:t>
      </w:r>
      <w:r w:rsidRPr="00E06C64">
        <w:rPr>
          <w:rFonts w:ascii="Garamond" w:hAnsi="Garamond"/>
          <w:sz w:val="24"/>
          <w:szCs w:val="24"/>
        </w:rPr>
        <w:t>, onde se exclui a aplicação analógica de normas excepcionais mas se permite a sua interpretação extensiva.</w:t>
      </w:r>
    </w:p>
    <w:p w:rsidR="00955249" w:rsidRPr="00E06C64" w:rsidRDefault="00955249" w:rsidP="00955249">
      <w:pPr>
        <w:spacing w:after="0" w:line="360" w:lineRule="auto"/>
        <w:jc w:val="both"/>
        <w:rPr>
          <w:rFonts w:ascii="Garamond" w:hAnsi="Garamond"/>
        </w:rPr>
      </w:pPr>
    </w:p>
    <w:p w:rsidR="00955249" w:rsidRPr="00E06C64" w:rsidRDefault="00955249" w:rsidP="00955249">
      <w:pPr>
        <w:spacing w:after="120" w:line="360" w:lineRule="auto"/>
        <w:rPr>
          <w:rFonts w:ascii="Garamond" w:hAnsi="Garamond"/>
          <w:b/>
          <w:sz w:val="24"/>
          <w:szCs w:val="24"/>
        </w:rPr>
      </w:pPr>
      <w:r w:rsidRPr="00E06C64">
        <w:rPr>
          <w:rFonts w:ascii="Garamond" w:hAnsi="Garamond"/>
          <w:b/>
          <w:sz w:val="24"/>
          <w:szCs w:val="24"/>
        </w:rPr>
        <w:t>19.2.2. Aplicação analógica de normas excepcionais e argumento “</w:t>
      </w:r>
      <w:r w:rsidRPr="00E06C64">
        <w:rPr>
          <w:rFonts w:ascii="Garamond" w:hAnsi="Garamond"/>
          <w:b/>
          <w:i/>
          <w:sz w:val="24"/>
          <w:szCs w:val="24"/>
        </w:rPr>
        <w:t xml:space="preserve">a </w:t>
      </w:r>
      <w:proofErr w:type="gramStart"/>
      <w:r w:rsidRPr="00E06C64">
        <w:rPr>
          <w:rFonts w:ascii="Garamond" w:hAnsi="Garamond"/>
          <w:b/>
          <w:i/>
          <w:sz w:val="24"/>
          <w:szCs w:val="24"/>
        </w:rPr>
        <w:t>contrario</w:t>
      </w:r>
      <w:proofErr w:type="gramEnd"/>
      <w:r w:rsidRPr="00E06C64">
        <w:rPr>
          <w:rFonts w:ascii="Garamond" w:hAnsi="Garamond"/>
          <w:b/>
          <w:sz w:val="24"/>
          <w:szCs w:val="24"/>
        </w:rPr>
        <w:t xml:space="preserve">” </w:t>
      </w:r>
    </w:p>
    <w:p w:rsidR="00955249" w:rsidRPr="00E06C64" w:rsidRDefault="00955249" w:rsidP="00955249">
      <w:pPr>
        <w:spacing w:after="120" w:line="360" w:lineRule="auto"/>
        <w:jc w:val="both"/>
        <w:rPr>
          <w:rFonts w:ascii="Garamond" w:hAnsi="Garamond"/>
          <w:sz w:val="24"/>
          <w:szCs w:val="24"/>
        </w:rPr>
      </w:pPr>
      <w:r w:rsidRPr="00E06C64">
        <w:rPr>
          <w:rFonts w:ascii="Garamond" w:hAnsi="Garamond"/>
          <w:sz w:val="24"/>
          <w:szCs w:val="24"/>
        </w:rPr>
        <w:t xml:space="preserve">19.2.2.1. </w:t>
      </w:r>
      <w:r w:rsidRPr="00E06C64">
        <w:rPr>
          <w:rFonts w:ascii="Garamond" w:hAnsi="Garamond"/>
          <w:sz w:val="24"/>
          <w:szCs w:val="24"/>
          <w:u w:val="single"/>
        </w:rPr>
        <w:t>Elucidação do problema</w:t>
      </w:r>
    </w:p>
    <w:p w:rsidR="00955249" w:rsidRPr="00E06C64" w:rsidRDefault="00955249" w:rsidP="00955249">
      <w:pPr>
        <w:spacing w:after="0" w:line="360" w:lineRule="auto"/>
        <w:jc w:val="both"/>
        <w:rPr>
          <w:rFonts w:ascii="Garamond" w:hAnsi="Garamond"/>
          <w:sz w:val="24"/>
          <w:szCs w:val="24"/>
          <w:u w:val="single"/>
        </w:rPr>
      </w:pPr>
      <w:r w:rsidRPr="00E06C64">
        <w:rPr>
          <w:rFonts w:ascii="Garamond" w:hAnsi="Garamond"/>
          <w:sz w:val="24"/>
          <w:szCs w:val="24"/>
        </w:rPr>
        <w:lastRenderedPageBreak/>
        <w:t>Temos uma norma X que se dirige a uma situação particular X, e uma situação da vida Y que não cabe na letra de tal norma. Procura-se determinar a norma para resolver a situação Y.</w:t>
      </w:r>
    </w:p>
    <w:p w:rsidR="00955249" w:rsidRPr="00E06C64" w:rsidRDefault="00955249" w:rsidP="00955249">
      <w:pPr>
        <w:pStyle w:val="PargrafodaLista"/>
        <w:numPr>
          <w:ilvl w:val="0"/>
          <w:numId w:val="1"/>
        </w:numPr>
        <w:spacing w:after="0" w:line="360" w:lineRule="auto"/>
        <w:jc w:val="both"/>
        <w:rPr>
          <w:rFonts w:ascii="Garamond" w:hAnsi="Garamond"/>
          <w:sz w:val="24"/>
          <w:szCs w:val="24"/>
        </w:rPr>
      </w:pPr>
      <w:r w:rsidRPr="00E06C64">
        <w:rPr>
          <w:rFonts w:ascii="Garamond" w:hAnsi="Garamond"/>
          <w:sz w:val="24"/>
          <w:szCs w:val="24"/>
        </w:rPr>
        <w:t xml:space="preserve">Se optarmos pelo </w:t>
      </w:r>
      <w:r w:rsidRPr="00E06C64">
        <w:rPr>
          <w:rFonts w:ascii="Garamond" w:hAnsi="Garamond"/>
          <w:i/>
          <w:sz w:val="24"/>
          <w:szCs w:val="24"/>
          <w:u w:val="single"/>
        </w:rPr>
        <w:t>argumento de analogia</w:t>
      </w:r>
      <w:r w:rsidRPr="00E06C64">
        <w:rPr>
          <w:rFonts w:ascii="Garamond" w:hAnsi="Garamond"/>
          <w:sz w:val="24"/>
          <w:szCs w:val="24"/>
        </w:rPr>
        <w:t xml:space="preserve">: vai-se discutir se a norma X é substancialmente excepcional ou formalmente substancial: </w:t>
      </w:r>
      <w:r w:rsidRPr="00E06C64">
        <w:rPr>
          <w:rFonts w:ascii="Garamond" w:hAnsi="Garamond"/>
          <w:b/>
          <w:sz w:val="24"/>
          <w:szCs w:val="24"/>
        </w:rPr>
        <w:t xml:space="preserve">a) </w:t>
      </w:r>
      <w:r w:rsidRPr="00E06C64">
        <w:rPr>
          <w:rFonts w:ascii="Garamond" w:hAnsi="Garamond"/>
          <w:sz w:val="24"/>
          <w:szCs w:val="24"/>
        </w:rPr>
        <w:t xml:space="preserve">se é substancialmente excepcional – a norma X não se aplica ao facto Y; </w:t>
      </w:r>
      <w:r w:rsidRPr="00E06C64">
        <w:rPr>
          <w:rFonts w:ascii="Garamond" w:hAnsi="Garamond"/>
          <w:b/>
          <w:sz w:val="24"/>
          <w:szCs w:val="24"/>
        </w:rPr>
        <w:t>b)</w:t>
      </w:r>
      <w:r w:rsidRPr="00E06C64">
        <w:rPr>
          <w:rFonts w:ascii="Garamond" w:hAnsi="Garamond"/>
          <w:sz w:val="24"/>
          <w:szCs w:val="24"/>
        </w:rPr>
        <w:t xml:space="preserve"> se é formalmente excepcional – a norma X pode-se aplicar analogicamente ao facto Y.</w:t>
      </w:r>
    </w:p>
    <w:p w:rsidR="00955249" w:rsidRPr="00E06C64" w:rsidRDefault="00955249" w:rsidP="00955249">
      <w:pPr>
        <w:pStyle w:val="PargrafodaLista"/>
        <w:numPr>
          <w:ilvl w:val="0"/>
          <w:numId w:val="1"/>
        </w:numPr>
        <w:spacing w:line="360" w:lineRule="auto"/>
        <w:jc w:val="both"/>
        <w:rPr>
          <w:rFonts w:ascii="Garamond" w:hAnsi="Garamond"/>
          <w:sz w:val="24"/>
          <w:szCs w:val="24"/>
        </w:rPr>
      </w:pPr>
      <w:r w:rsidRPr="00E06C64">
        <w:rPr>
          <w:rFonts w:ascii="Garamond" w:hAnsi="Garamond"/>
          <w:sz w:val="24"/>
          <w:szCs w:val="24"/>
        </w:rPr>
        <w:t xml:space="preserve">Se optarmos pelo </w:t>
      </w:r>
      <w:r w:rsidRPr="00E06C64">
        <w:rPr>
          <w:rFonts w:ascii="Garamond" w:hAnsi="Garamond"/>
          <w:i/>
          <w:sz w:val="24"/>
          <w:szCs w:val="24"/>
          <w:u w:val="single"/>
        </w:rPr>
        <w:t>argumento “a contrario”</w:t>
      </w:r>
      <w:r w:rsidRPr="00E06C64">
        <w:rPr>
          <w:rFonts w:ascii="Garamond" w:hAnsi="Garamond"/>
          <w:sz w:val="24"/>
          <w:szCs w:val="24"/>
        </w:rPr>
        <w:t>: parte-se do princípio de que a norma X não se aplica ao facto Y, todavia a norma X auxilia na determinação do regime a aplicar ao facto Y, na medida em que este regime terá conteúdo oposto ao previsto na norma X.</w:t>
      </w:r>
    </w:p>
    <w:p w:rsidR="00955249" w:rsidRPr="00E06C64" w:rsidRDefault="00955249" w:rsidP="00955249">
      <w:pPr>
        <w:spacing w:line="360" w:lineRule="auto"/>
        <w:rPr>
          <w:rFonts w:ascii="Garamond" w:hAnsi="Garamond"/>
          <w:sz w:val="24"/>
          <w:szCs w:val="24"/>
        </w:rPr>
      </w:pPr>
      <w:r w:rsidRPr="00E06C64">
        <w:rPr>
          <w:rFonts w:ascii="Garamond" w:hAnsi="Garamond"/>
          <w:sz w:val="24"/>
          <w:szCs w:val="24"/>
        </w:rPr>
        <w:t xml:space="preserve">19.2.2.2. </w:t>
      </w:r>
      <w:r w:rsidRPr="00E06C64">
        <w:rPr>
          <w:rFonts w:ascii="Garamond" w:hAnsi="Garamond"/>
          <w:sz w:val="24"/>
          <w:szCs w:val="24"/>
          <w:u w:val="single"/>
        </w:rPr>
        <w:t>Exemplos práticos</w:t>
      </w:r>
    </w:p>
    <w:p w:rsidR="00955249" w:rsidRPr="00E06C64" w:rsidRDefault="00955249" w:rsidP="00955249">
      <w:pPr>
        <w:tabs>
          <w:tab w:val="left" w:pos="4253"/>
        </w:tabs>
        <w:spacing w:line="360" w:lineRule="auto"/>
        <w:jc w:val="both"/>
        <w:rPr>
          <w:rFonts w:ascii="Garamond" w:hAnsi="Garamond"/>
          <w:sz w:val="24"/>
          <w:szCs w:val="24"/>
        </w:rPr>
      </w:pPr>
      <w:r w:rsidRPr="00E06C64">
        <w:rPr>
          <w:rFonts w:ascii="Garamond" w:hAnsi="Garamond"/>
          <w:i/>
          <w:sz w:val="24"/>
          <w:szCs w:val="24"/>
          <w:u w:val="single"/>
        </w:rPr>
        <w:t>Argumento “a contrario”</w:t>
      </w:r>
      <w:r w:rsidRPr="00E06C64">
        <w:rPr>
          <w:rFonts w:ascii="Garamond" w:hAnsi="Garamond"/>
          <w:i/>
          <w:sz w:val="24"/>
          <w:szCs w:val="24"/>
        </w:rPr>
        <w:t xml:space="preserve"> – </w:t>
      </w:r>
      <w:r w:rsidRPr="00E06C64">
        <w:rPr>
          <w:rFonts w:ascii="Garamond" w:hAnsi="Garamond"/>
          <w:b/>
          <w:sz w:val="24"/>
          <w:szCs w:val="24"/>
        </w:rPr>
        <w:t>a)</w:t>
      </w:r>
      <w:r w:rsidRPr="00E06C64">
        <w:rPr>
          <w:rFonts w:ascii="Garamond" w:hAnsi="Garamond"/>
          <w:sz w:val="24"/>
          <w:szCs w:val="24"/>
        </w:rPr>
        <w:t xml:space="preserve"> os já referidos casos</w:t>
      </w:r>
      <w:r w:rsidRPr="00E06C64">
        <w:rPr>
          <w:rStyle w:val="Refdenotaderodap"/>
          <w:rFonts w:ascii="Garamond" w:hAnsi="Garamond"/>
          <w:sz w:val="24"/>
          <w:szCs w:val="24"/>
        </w:rPr>
        <w:footnoteReference w:id="13"/>
      </w:r>
      <w:r w:rsidRPr="00E06C64">
        <w:rPr>
          <w:rFonts w:ascii="Garamond" w:hAnsi="Garamond"/>
          <w:sz w:val="24"/>
          <w:szCs w:val="24"/>
        </w:rPr>
        <w:t xml:space="preserve">, de </w:t>
      </w:r>
      <w:proofErr w:type="gramStart"/>
      <w:r w:rsidRPr="00E06C64">
        <w:rPr>
          <w:rFonts w:ascii="Garamond" w:hAnsi="Garamond"/>
          <w:sz w:val="24"/>
          <w:szCs w:val="24"/>
        </w:rPr>
        <w:t>que</w:t>
      </w:r>
      <w:proofErr w:type="gramEnd"/>
      <w:r w:rsidRPr="00E06C64">
        <w:rPr>
          <w:rFonts w:ascii="Garamond" w:hAnsi="Garamond"/>
          <w:sz w:val="24"/>
          <w:szCs w:val="24"/>
        </w:rPr>
        <w:t xml:space="preserve">: da regra excepcional que permite o voto a estrangeiros com residencia há mais de cinco anos, extrai-se a regra de que os residentes há cinco ou menos de cinco anos não têm o direito de voto; ou da regra excepcional da obrigatoriedade de inspecção de veículos antigos, retira-se a regra geral da não obrigatoriedade face a veículos recentes; </w:t>
      </w:r>
      <w:r w:rsidRPr="00E06C64">
        <w:rPr>
          <w:rFonts w:ascii="Garamond" w:hAnsi="Garamond"/>
          <w:b/>
          <w:sz w:val="24"/>
          <w:szCs w:val="24"/>
        </w:rPr>
        <w:t>b)</w:t>
      </w:r>
      <w:r w:rsidRPr="00E06C64">
        <w:rPr>
          <w:rFonts w:ascii="Garamond" w:hAnsi="Garamond"/>
          <w:sz w:val="24"/>
          <w:szCs w:val="24"/>
        </w:rPr>
        <w:t xml:space="preserve"> nos termos dos artigos 1569.º, n.º 1, alínea b) e 1571.º do CC, quando se verificar a impossibilidade do exercício do direito de servidão (v.g., uma servidão de passagem obstruída devido a alteração do terreno), esta só se extingue após o decurso de 20 anos - sendo o </w:t>
      </w:r>
      <w:proofErr w:type="spellStart"/>
      <w:r w:rsidRPr="00E06C64">
        <w:rPr>
          <w:rFonts w:ascii="Garamond" w:hAnsi="Garamond"/>
          <w:sz w:val="24"/>
          <w:szCs w:val="24"/>
        </w:rPr>
        <w:t>art</w:t>
      </w:r>
      <w:proofErr w:type="spellEnd"/>
      <w:r w:rsidRPr="00E06C64">
        <w:rPr>
          <w:rFonts w:ascii="Garamond" w:hAnsi="Garamond"/>
          <w:sz w:val="24"/>
          <w:szCs w:val="24"/>
        </w:rPr>
        <w:t xml:space="preserve">. 1571.º do CC um </w:t>
      </w:r>
      <w:r w:rsidRPr="00E06C64">
        <w:rPr>
          <w:rFonts w:ascii="Garamond" w:hAnsi="Garamond"/>
          <w:i/>
          <w:sz w:val="24"/>
          <w:szCs w:val="24"/>
        </w:rPr>
        <w:t>preceito excepcional</w:t>
      </w:r>
      <w:r w:rsidRPr="00E06C64">
        <w:rPr>
          <w:rFonts w:ascii="Garamond" w:hAnsi="Garamond"/>
          <w:sz w:val="24"/>
          <w:szCs w:val="24"/>
        </w:rPr>
        <w:t xml:space="preserve">, entende Oliveira Ascensão que dele decorre a </w:t>
      </w:r>
      <w:r w:rsidRPr="00E06C64">
        <w:rPr>
          <w:rFonts w:ascii="Garamond" w:hAnsi="Garamond"/>
          <w:i/>
          <w:sz w:val="24"/>
          <w:szCs w:val="24"/>
        </w:rPr>
        <w:t>regra geral</w:t>
      </w:r>
      <w:r w:rsidRPr="00E06C64">
        <w:rPr>
          <w:rFonts w:ascii="Garamond" w:hAnsi="Garamond"/>
          <w:sz w:val="24"/>
          <w:szCs w:val="24"/>
        </w:rPr>
        <w:t xml:space="preserve"> de que a impossibilidade de exercício de qualquer outro direito real implica a sua </w:t>
      </w:r>
      <w:r w:rsidRPr="00E06C64">
        <w:rPr>
          <w:rFonts w:ascii="Garamond" w:hAnsi="Garamond"/>
          <w:i/>
          <w:sz w:val="24"/>
          <w:szCs w:val="24"/>
        </w:rPr>
        <w:t>extinção imediata</w:t>
      </w:r>
      <w:r w:rsidRPr="00E06C64">
        <w:rPr>
          <w:rFonts w:ascii="Garamond" w:hAnsi="Garamond"/>
          <w:sz w:val="24"/>
          <w:szCs w:val="24"/>
        </w:rPr>
        <w:t>, por isso, no caso do usufruto de um pomar, se a fruição da coisa for impossível (porque o terreno é arenoso) o usufruto extingue-se no imediato</w:t>
      </w:r>
      <w:r w:rsidRPr="00E06C64">
        <w:rPr>
          <w:rStyle w:val="Refdenotaderodap"/>
          <w:rFonts w:ascii="Garamond" w:hAnsi="Garamond"/>
          <w:sz w:val="24"/>
          <w:szCs w:val="24"/>
        </w:rPr>
        <w:footnoteReference w:id="14"/>
      </w:r>
      <w:r w:rsidRPr="00E06C64">
        <w:rPr>
          <w:rFonts w:ascii="Garamond" w:hAnsi="Garamond"/>
          <w:sz w:val="24"/>
          <w:szCs w:val="24"/>
        </w:rPr>
        <w:t xml:space="preserve">; </w:t>
      </w:r>
      <w:r w:rsidRPr="00E06C64">
        <w:rPr>
          <w:rFonts w:ascii="Garamond" w:hAnsi="Garamond"/>
          <w:b/>
          <w:sz w:val="24"/>
          <w:szCs w:val="24"/>
        </w:rPr>
        <w:t>c)</w:t>
      </w:r>
      <w:r w:rsidRPr="00E06C64">
        <w:rPr>
          <w:rFonts w:ascii="Garamond" w:hAnsi="Garamond"/>
          <w:sz w:val="24"/>
          <w:szCs w:val="24"/>
        </w:rPr>
        <w:t xml:space="preserve"> tendo por base a existência de uma lei que dispõe que </w:t>
      </w:r>
      <w:r w:rsidRPr="00E06C64">
        <w:rPr>
          <w:rFonts w:ascii="Garamond" w:hAnsi="Garamond"/>
          <w:i/>
          <w:sz w:val="24"/>
          <w:szCs w:val="24"/>
        </w:rPr>
        <w:t xml:space="preserve">o proprietário de um quadrúpede responde pelos prejuízos que tal animal tenha causado, </w:t>
      </w:r>
      <w:r w:rsidRPr="00E06C64">
        <w:rPr>
          <w:rFonts w:ascii="Garamond" w:hAnsi="Garamond"/>
          <w:sz w:val="24"/>
          <w:szCs w:val="24"/>
        </w:rPr>
        <w:t xml:space="preserve">discute-se qual será o regime a aplicar aos animais bípedes (v.g., avestruz) – a dúvida pauta-se por saber se se deve usar um </w:t>
      </w:r>
      <w:r w:rsidRPr="00E06C64">
        <w:rPr>
          <w:rFonts w:ascii="Garamond" w:hAnsi="Garamond"/>
          <w:i/>
          <w:sz w:val="24"/>
          <w:szCs w:val="24"/>
        </w:rPr>
        <w:t>argumento de analogia,</w:t>
      </w:r>
      <w:r w:rsidRPr="00E06C64">
        <w:rPr>
          <w:rFonts w:ascii="Garamond" w:hAnsi="Garamond"/>
          <w:sz w:val="24"/>
          <w:szCs w:val="24"/>
        </w:rPr>
        <w:t xml:space="preserve"> ou, antes, um </w:t>
      </w:r>
      <w:r w:rsidRPr="00E06C64">
        <w:rPr>
          <w:rFonts w:ascii="Garamond" w:hAnsi="Garamond"/>
          <w:i/>
          <w:sz w:val="24"/>
          <w:szCs w:val="24"/>
        </w:rPr>
        <w:t xml:space="preserve">argumento “a </w:t>
      </w:r>
      <w:proofErr w:type="gramStart"/>
      <w:r w:rsidRPr="00E06C64">
        <w:rPr>
          <w:rFonts w:ascii="Garamond" w:hAnsi="Garamond"/>
          <w:i/>
          <w:sz w:val="24"/>
          <w:szCs w:val="24"/>
        </w:rPr>
        <w:t>contrario</w:t>
      </w:r>
      <w:proofErr w:type="gramEnd"/>
      <w:r w:rsidRPr="00E06C64">
        <w:rPr>
          <w:rFonts w:ascii="Garamond" w:hAnsi="Garamond"/>
          <w:i/>
          <w:sz w:val="24"/>
          <w:szCs w:val="24"/>
        </w:rPr>
        <w:t>”</w:t>
      </w:r>
      <w:r w:rsidRPr="00E06C64">
        <w:rPr>
          <w:rFonts w:ascii="Garamond" w:hAnsi="Garamond"/>
          <w:sz w:val="24"/>
          <w:szCs w:val="24"/>
        </w:rPr>
        <w:t xml:space="preserve">: o </w:t>
      </w:r>
      <w:r w:rsidRPr="00E06C64">
        <w:rPr>
          <w:rFonts w:ascii="Garamond" w:hAnsi="Garamond"/>
          <w:i/>
          <w:sz w:val="24"/>
          <w:szCs w:val="24"/>
        </w:rPr>
        <w:t>argumento de analogia</w:t>
      </w:r>
      <w:r w:rsidRPr="00E06C64">
        <w:rPr>
          <w:rFonts w:ascii="Garamond" w:hAnsi="Garamond"/>
          <w:sz w:val="24"/>
          <w:szCs w:val="24"/>
        </w:rPr>
        <w:t xml:space="preserve"> parte do pressuposto de que existe uma lacuna, mas que as mesmas razões justificativas da aplicação da norma aos quadrúpedes também valem para os bípedes; já o </w:t>
      </w:r>
      <w:r w:rsidRPr="00E06C64">
        <w:rPr>
          <w:rFonts w:ascii="Garamond" w:hAnsi="Garamond"/>
          <w:i/>
          <w:sz w:val="24"/>
          <w:szCs w:val="24"/>
        </w:rPr>
        <w:t>argumento “a contrario”</w:t>
      </w:r>
      <w:r w:rsidRPr="00E06C64">
        <w:rPr>
          <w:rFonts w:ascii="Garamond" w:hAnsi="Garamond"/>
          <w:sz w:val="24"/>
          <w:szCs w:val="24"/>
        </w:rPr>
        <w:t xml:space="preserve"> parte do </w:t>
      </w:r>
      <w:r w:rsidRPr="00E06C64">
        <w:rPr>
          <w:rFonts w:ascii="Garamond" w:hAnsi="Garamond"/>
          <w:sz w:val="24"/>
          <w:szCs w:val="24"/>
        </w:rPr>
        <w:lastRenderedPageBreak/>
        <w:t xml:space="preserve">pressuposto de que a norma, sendo excepcional, aplica-se somente à particular situação dos animais quadrúpedes, dela se extraindo um regime geral oposto no sentido de que face aos restantes animais (incluindo os bípedes) não deve haver qualquer responsabilidade do proprietário. Como se verifica, a opção por um ou por outro argumento leva a soluções opostas, Karl </w:t>
      </w:r>
      <w:proofErr w:type="spellStart"/>
      <w:r w:rsidRPr="00E06C64">
        <w:rPr>
          <w:rFonts w:ascii="Garamond" w:hAnsi="Garamond"/>
          <w:sz w:val="24"/>
          <w:szCs w:val="24"/>
        </w:rPr>
        <w:t>Engisch</w:t>
      </w:r>
      <w:proofErr w:type="spellEnd"/>
      <w:r w:rsidRPr="00E06C64">
        <w:rPr>
          <w:rFonts w:ascii="Garamond" w:hAnsi="Garamond"/>
          <w:sz w:val="24"/>
          <w:szCs w:val="24"/>
        </w:rPr>
        <w:t xml:space="preserve">, neste caso, vem a entender como preferível a resolução pela via do </w:t>
      </w:r>
      <w:r w:rsidRPr="00E06C64">
        <w:rPr>
          <w:rFonts w:ascii="Garamond" w:hAnsi="Garamond"/>
          <w:i/>
          <w:sz w:val="24"/>
          <w:szCs w:val="24"/>
        </w:rPr>
        <w:t xml:space="preserve">argumento “a </w:t>
      </w:r>
      <w:proofErr w:type="gramStart"/>
      <w:r w:rsidRPr="00E06C64">
        <w:rPr>
          <w:rFonts w:ascii="Garamond" w:hAnsi="Garamond"/>
          <w:i/>
          <w:sz w:val="24"/>
          <w:szCs w:val="24"/>
        </w:rPr>
        <w:t>contrario</w:t>
      </w:r>
      <w:proofErr w:type="gramEnd"/>
      <w:r w:rsidRPr="00E06C64">
        <w:rPr>
          <w:rFonts w:ascii="Garamond" w:hAnsi="Garamond"/>
          <w:i/>
          <w:sz w:val="24"/>
          <w:szCs w:val="24"/>
        </w:rPr>
        <w:t>”</w:t>
      </w:r>
      <w:r w:rsidRPr="00E06C64">
        <w:rPr>
          <w:rFonts w:ascii="Garamond" w:hAnsi="Garamond"/>
          <w:sz w:val="24"/>
          <w:szCs w:val="24"/>
        </w:rPr>
        <w:t xml:space="preserve"> </w:t>
      </w:r>
      <w:r w:rsidRPr="00E06C64">
        <w:rPr>
          <w:rStyle w:val="Refdenotaderodap"/>
          <w:rFonts w:ascii="Garamond" w:hAnsi="Garamond"/>
          <w:sz w:val="24"/>
          <w:szCs w:val="24"/>
        </w:rPr>
        <w:footnoteReference w:id="15"/>
      </w:r>
      <w:r w:rsidRPr="00E06C64">
        <w:rPr>
          <w:rFonts w:ascii="Garamond" w:hAnsi="Garamond"/>
          <w:sz w:val="24"/>
          <w:szCs w:val="24"/>
        </w:rPr>
        <w:t>.</w:t>
      </w:r>
    </w:p>
    <w:p w:rsidR="00955249" w:rsidRPr="00E06C64" w:rsidRDefault="00955249" w:rsidP="00955249">
      <w:pPr>
        <w:spacing w:after="360" w:line="360" w:lineRule="auto"/>
        <w:jc w:val="both"/>
        <w:rPr>
          <w:rFonts w:ascii="Garamond" w:hAnsi="Garamond"/>
          <w:i/>
          <w:sz w:val="24"/>
          <w:szCs w:val="24"/>
        </w:rPr>
      </w:pPr>
      <w:r w:rsidRPr="00E06C64">
        <w:rPr>
          <w:rFonts w:ascii="Garamond" w:hAnsi="Garamond"/>
          <w:i/>
          <w:sz w:val="24"/>
          <w:szCs w:val="24"/>
          <w:u w:val="single"/>
        </w:rPr>
        <w:t>Argumento de analogia</w:t>
      </w:r>
      <w:r w:rsidRPr="00E06C64">
        <w:rPr>
          <w:rFonts w:ascii="Garamond" w:hAnsi="Garamond"/>
          <w:sz w:val="24"/>
          <w:szCs w:val="24"/>
        </w:rPr>
        <w:t xml:space="preserve"> - </w:t>
      </w:r>
      <w:r w:rsidRPr="00E06C64">
        <w:rPr>
          <w:rFonts w:ascii="Garamond" w:hAnsi="Garamond"/>
          <w:i/>
          <w:sz w:val="24"/>
          <w:szCs w:val="24"/>
        </w:rPr>
        <w:t>aplicação analógica de normas excepcionais</w:t>
      </w:r>
      <w:r w:rsidRPr="00E06C64">
        <w:rPr>
          <w:rFonts w:ascii="Garamond" w:hAnsi="Garamond"/>
          <w:sz w:val="24"/>
          <w:szCs w:val="24"/>
        </w:rPr>
        <w:t xml:space="preserve">: </w:t>
      </w:r>
      <w:r w:rsidRPr="00E06C64">
        <w:rPr>
          <w:rFonts w:ascii="Garamond" w:hAnsi="Garamond"/>
          <w:b/>
          <w:sz w:val="24"/>
          <w:szCs w:val="24"/>
        </w:rPr>
        <w:t>a)</w:t>
      </w:r>
      <w:r w:rsidRPr="00E06C64">
        <w:rPr>
          <w:rFonts w:ascii="Garamond" w:hAnsi="Garamond"/>
          <w:sz w:val="24"/>
          <w:szCs w:val="24"/>
        </w:rPr>
        <w:t xml:space="preserve"> aplicação do regime de renda condicionada previsto para o arrendamento de habitação, a um caso de arrendamento comercial; </w:t>
      </w:r>
      <w:r w:rsidRPr="00E06C64">
        <w:rPr>
          <w:rFonts w:ascii="Garamond" w:hAnsi="Garamond"/>
          <w:b/>
          <w:sz w:val="24"/>
          <w:szCs w:val="24"/>
        </w:rPr>
        <w:t>b)</w:t>
      </w:r>
      <w:r w:rsidRPr="00E06C64">
        <w:rPr>
          <w:rFonts w:ascii="Garamond" w:hAnsi="Garamond"/>
          <w:sz w:val="24"/>
          <w:szCs w:val="24"/>
        </w:rPr>
        <w:t xml:space="preserve"> aplicação da norma que prevê linhas de créditos especiais para minimizar danos ocorridos por efeito de condições atmosféricas em actividades comerciais, industriais e de serviços, a uma empresa de plantação de legumes (actividade agrícola); </w:t>
      </w:r>
      <w:r w:rsidRPr="00E06C64">
        <w:rPr>
          <w:rFonts w:ascii="Garamond" w:hAnsi="Garamond"/>
          <w:b/>
          <w:sz w:val="24"/>
          <w:szCs w:val="24"/>
        </w:rPr>
        <w:t>c)</w:t>
      </w:r>
      <w:r w:rsidRPr="00E06C64">
        <w:rPr>
          <w:rFonts w:ascii="Garamond" w:hAnsi="Garamond"/>
          <w:sz w:val="24"/>
          <w:szCs w:val="24"/>
        </w:rPr>
        <w:t xml:space="preserve"> aplicação de uma norma que atribui subsídios a empresários de táxis por efeito de aumento de combustíveis, a uma empresa privada de transporte de alunos.</w:t>
      </w:r>
    </w:p>
    <w:p w:rsidR="00955249" w:rsidRPr="00E06C64" w:rsidRDefault="00955249" w:rsidP="00955249">
      <w:pPr>
        <w:spacing w:line="360" w:lineRule="auto"/>
        <w:jc w:val="both"/>
        <w:rPr>
          <w:rFonts w:ascii="Garamond" w:hAnsi="Garamond"/>
          <w:b/>
          <w:sz w:val="24"/>
          <w:szCs w:val="24"/>
        </w:rPr>
      </w:pPr>
      <w:r w:rsidRPr="00E06C64">
        <w:rPr>
          <w:rFonts w:ascii="Garamond" w:hAnsi="Garamond"/>
          <w:sz w:val="24"/>
          <w:szCs w:val="24"/>
        </w:rPr>
        <w:t xml:space="preserve">19.2.2.3. </w:t>
      </w:r>
      <w:r w:rsidRPr="00E06C64">
        <w:rPr>
          <w:rFonts w:ascii="Garamond" w:hAnsi="Garamond"/>
          <w:sz w:val="24"/>
          <w:szCs w:val="24"/>
          <w:u w:val="single"/>
        </w:rPr>
        <w:t>A resolução pela doutrina</w:t>
      </w:r>
      <w:r w:rsidRPr="00E06C64">
        <w:rPr>
          <w:rFonts w:ascii="Garamond" w:hAnsi="Garamond"/>
          <w:b/>
          <w:sz w:val="24"/>
          <w:szCs w:val="24"/>
        </w:rPr>
        <w:t>:</w:t>
      </w:r>
    </w:p>
    <w:p w:rsidR="00955249" w:rsidRPr="00E06C64" w:rsidRDefault="00955249" w:rsidP="00955249">
      <w:pPr>
        <w:spacing w:after="120" w:line="360" w:lineRule="auto"/>
        <w:jc w:val="both"/>
        <w:rPr>
          <w:rFonts w:ascii="Garamond" w:hAnsi="Garamond"/>
          <w:sz w:val="24"/>
          <w:szCs w:val="24"/>
        </w:rPr>
      </w:pPr>
      <w:r w:rsidRPr="00E06C64">
        <w:rPr>
          <w:rFonts w:ascii="Garamond" w:hAnsi="Garamond"/>
          <w:b/>
          <w:sz w:val="24"/>
          <w:szCs w:val="24"/>
        </w:rPr>
        <w:t xml:space="preserve">Karl </w:t>
      </w:r>
      <w:proofErr w:type="spellStart"/>
      <w:r w:rsidRPr="00E06C64">
        <w:rPr>
          <w:rFonts w:ascii="Garamond" w:hAnsi="Garamond"/>
          <w:b/>
          <w:sz w:val="24"/>
          <w:szCs w:val="24"/>
        </w:rPr>
        <w:t>Engisch</w:t>
      </w:r>
      <w:proofErr w:type="spellEnd"/>
      <w:r w:rsidRPr="00E06C64">
        <w:rPr>
          <w:rFonts w:ascii="Garamond" w:hAnsi="Garamond"/>
          <w:sz w:val="24"/>
          <w:szCs w:val="24"/>
        </w:rPr>
        <w:t xml:space="preserve"> afirma que a escolha entre o </w:t>
      </w:r>
      <w:r w:rsidRPr="00E06C64">
        <w:rPr>
          <w:rFonts w:ascii="Garamond" w:hAnsi="Garamond"/>
          <w:i/>
          <w:sz w:val="24"/>
          <w:szCs w:val="24"/>
        </w:rPr>
        <w:t>argumento de analogia</w:t>
      </w:r>
      <w:r w:rsidRPr="00E06C64">
        <w:rPr>
          <w:rFonts w:ascii="Garamond" w:hAnsi="Garamond"/>
          <w:sz w:val="24"/>
          <w:szCs w:val="24"/>
        </w:rPr>
        <w:t xml:space="preserve"> e o </w:t>
      </w:r>
      <w:r w:rsidRPr="00E06C64">
        <w:rPr>
          <w:rFonts w:ascii="Garamond" w:hAnsi="Garamond"/>
          <w:i/>
          <w:sz w:val="24"/>
          <w:szCs w:val="24"/>
        </w:rPr>
        <w:t>argumento</w:t>
      </w:r>
      <w:r w:rsidRPr="00E06C64">
        <w:rPr>
          <w:rFonts w:ascii="Garamond" w:hAnsi="Garamond"/>
          <w:sz w:val="24"/>
          <w:szCs w:val="24"/>
        </w:rPr>
        <w:t xml:space="preserve"> “</w:t>
      </w:r>
      <w:r w:rsidRPr="00E06C64">
        <w:rPr>
          <w:rFonts w:ascii="Garamond" w:hAnsi="Garamond"/>
          <w:i/>
          <w:sz w:val="24"/>
          <w:szCs w:val="24"/>
        </w:rPr>
        <w:t xml:space="preserve">a </w:t>
      </w:r>
      <w:proofErr w:type="gramStart"/>
      <w:r w:rsidRPr="00E06C64">
        <w:rPr>
          <w:rFonts w:ascii="Garamond" w:hAnsi="Garamond"/>
          <w:i/>
          <w:sz w:val="24"/>
          <w:szCs w:val="24"/>
        </w:rPr>
        <w:t>contrario</w:t>
      </w:r>
      <w:proofErr w:type="gramEnd"/>
      <w:r w:rsidRPr="00E06C64">
        <w:rPr>
          <w:rFonts w:ascii="Garamond" w:hAnsi="Garamond"/>
          <w:i/>
          <w:sz w:val="24"/>
          <w:szCs w:val="24"/>
        </w:rPr>
        <w:t>”</w:t>
      </w:r>
      <w:r w:rsidRPr="00E06C64">
        <w:rPr>
          <w:rFonts w:ascii="Garamond" w:hAnsi="Garamond"/>
          <w:sz w:val="24"/>
          <w:szCs w:val="24"/>
        </w:rPr>
        <w:t xml:space="preserve"> não se pode fazer no plano da pura lógica, mas tem de combinar-se com a “</w:t>
      </w:r>
      <w:r w:rsidRPr="00E06C64">
        <w:rPr>
          <w:rFonts w:ascii="Garamond" w:hAnsi="Garamond"/>
          <w:sz w:val="24"/>
          <w:szCs w:val="24"/>
          <w:u w:val="single"/>
        </w:rPr>
        <w:t>teleologia</w:t>
      </w:r>
      <w:r w:rsidRPr="00E06C64">
        <w:rPr>
          <w:rFonts w:ascii="Garamond" w:hAnsi="Garamond"/>
          <w:sz w:val="24"/>
          <w:szCs w:val="24"/>
        </w:rPr>
        <w:t>”</w:t>
      </w:r>
      <w:r w:rsidRPr="00E06C64">
        <w:rPr>
          <w:rStyle w:val="Refdenotaderodap"/>
          <w:rFonts w:ascii="Garamond" w:hAnsi="Garamond"/>
          <w:sz w:val="24"/>
          <w:szCs w:val="24"/>
        </w:rPr>
        <w:footnoteReference w:id="16"/>
      </w:r>
      <w:r w:rsidRPr="00E06C64">
        <w:rPr>
          <w:rFonts w:ascii="Garamond" w:hAnsi="Garamond"/>
          <w:sz w:val="24"/>
          <w:szCs w:val="24"/>
        </w:rPr>
        <w:t xml:space="preserve">. Segundo </w:t>
      </w:r>
      <w:r w:rsidRPr="00E06C64">
        <w:rPr>
          <w:rFonts w:ascii="Garamond" w:hAnsi="Garamond"/>
          <w:b/>
          <w:sz w:val="24"/>
          <w:szCs w:val="24"/>
        </w:rPr>
        <w:t>Castanheira Neves</w:t>
      </w:r>
      <w:r w:rsidRPr="00E06C64">
        <w:rPr>
          <w:rFonts w:ascii="Garamond" w:hAnsi="Garamond"/>
          <w:sz w:val="24"/>
          <w:szCs w:val="24"/>
        </w:rPr>
        <w:t xml:space="preserve"> a opção entre a analogia e o </w:t>
      </w:r>
      <w:r w:rsidRPr="00E06C64">
        <w:rPr>
          <w:rFonts w:ascii="Garamond" w:hAnsi="Garamond"/>
          <w:i/>
          <w:sz w:val="24"/>
          <w:szCs w:val="24"/>
        </w:rPr>
        <w:t xml:space="preserve">argumento “a contrário” </w:t>
      </w:r>
      <w:r w:rsidRPr="00E06C64">
        <w:rPr>
          <w:rFonts w:ascii="Garamond" w:hAnsi="Garamond"/>
          <w:sz w:val="24"/>
          <w:szCs w:val="24"/>
        </w:rPr>
        <w:t>deve-se resolver pela interpretação de acordo com “</w:t>
      </w:r>
      <w:r w:rsidRPr="00E06C64">
        <w:rPr>
          <w:rFonts w:ascii="Garamond" w:hAnsi="Garamond"/>
          <w:sz w:val="24"/>
          <w:szCs w:val="24"/>
          <w:u w:val="single"/>
        </w:rPr>
        <w:t>valorações teleológicas</w:t>
      </w:r>
      <w:r w:rsidRPr="00E06C64">
        <w:rPr>
          <w:rFonts w:ascii="Garamond" w:hAnsi="Garamond"/>
          <w:sz w:val="24"/>
          <w:szCs w:val="24"/>
        </w:rPr>
        <w:t xml:space="preserve">”. Para este autor não existe um critério seguro que permita optar entre cada um dos procedimentos – deve-se verificar se a </w:t>
      </w:r>
      <w:r w:rsidRPr="00E06C64">
        <w:rPr>
          <w:rFonts w:ascii="Garamond" w:hAnsi="Garamond"/>
          <w:i/>
          <w:sz w:val="24"/>
          <w:szCs w:val="24"/>
        </w:rPr>
        <w:t>razão própria da norma excepcional</w:t>
      </w:r>
      <w:r w:rsidRPr="00E06C64">
        <w:rPr>
          <w:rFonts w:ascii="Garamond" w:hAnsi="Garamond"/>
          <w:sz w:val="24"/>
          <w:szCs w:val="24"/>
        </w:rPr>
        <w:t xml:space="preserve"> também justifica a sua aplicação a outros casos</w:t>
      </w:r>
      <w:r w:rsidRPr="00E06C64">
        <w:rPr>
          <w:rStyle w:val="Refdenotaderodap"/>
          <w:rFonts w:ascii="Garamond" w:hAnsi="Garamond"/>
          <w:sz w:val="24"/>
          <w:szCs w:val="24"/>
        </w:rPr>
        <w:footnoteReference w:id="17"/>
      </w:r>
      <w:r w:rsidRPr="00E06C64">
        <w:rPr>
          <w:rFonts w:ascii="Garamond" w:hAnsi="Garamond"/>
          <w:sz w:val="24"/>
          <w:szCs w:val="24"/>
        </w:rPr>
        <w:t xml:space="preserve">. No mesmo sentido, </w:t>
      </w:r>
      <w:r w:rsidRPr="00E06C64">
        <w:rPr>
          <w:rFonts w:ascii="Garamond" w:hAnsi="Garamond"/>
          <w:b/>
          <w:sz w:val="24"/>
          <w:szCs w:val="24"/>
        </w:rPr>
        <w:t xml:space="preserve">Karl </w:t>
      </w:r>
      <w:proofErr w:type="spellStart"/>
      <w:r w:rsidRPr="00E06C64">
        <w:rPr>
          <w:rFonts w:ascii="Garamond" w:hAnsi="Garamond"/>
          <w:b/>
          <w:sz w:val="24"/>
          <w:szCs w:val="24"/>
        </w:rPr>
        <w:t>Larenz</w:t>
      </w:r>
      <w:proofErr w:type="spellEnd"/>
      <w:r w:rsidRPr="00E06C64">
        <w:rPr>
          <w:rFonts w:ascii="Garamond" w:hAnsi="Garamond"/>
          <w:sz w:val="24"/>
          <w:szCs w:val="24"/>
        </w:rPr>
        <w:t xml:space="preserve"> defende que a decisão da escolha entre </w:t>
      </w:r>
      <w:r w:rsidRPr="00E06C64">
        <w:rPr>
          <w:rFonts w:ascii="Garamond" w:hAnsi="Garamond"/>
          <w:i/>
          <w:sz w:val="24"/>
          <w:szCs w:val="24"/>
        </w:rPr>
        <w:t>argumento</w:t>
      </w:r>
      <w:r w:rsidRPr="00E06C64">
        <w:rPr>
          <w:rFonts w:ascii="Garamond" w:hAnsi="Garamond"/>
          <w:sz w:val="24"/>
          <w:szCs w:val="24"/>
        </w:rPr>
        <w:t xml:space="preserve"> “</w:t>
      </w:r>
      <w:r w:rsidRPr="00E06C64">
        <w:rPr>
          <w:rFonts w:ascii="Garamond" w:hAnsi="Garamond"/>
          <w:i/>
          <w:sz w:val="24"/>
          <w:szCs w:val="24"/>
        </w:rPr>
        <w:t xml:space="preserve">a </w:t>
      </w:r>
      <w:proofErr w:type="gramStart"/>
      <w:r w:rsidRPr="00E06C64">
        <w:rPr>
          <w:rFonts w:ascii="Garamond" w:hAnsi="Garamond"/>
          <w:i/>
          <w:sz w:val="24"/>
          <w:szCs w:val="24"/>
        </w:rPr>
        <w:t>contrario</w:t>
      </w:r>
      <w:proofErr w:type="gramEnd"/>
      <w:r w:rsidRPr="00E06C64">
        <w:rPr>
          <w:rFonts w:ascii="Garamond" w:hAnsi="Garamond"/>
          <w:i/>
          <w:sz w:val="24"/>
          <w:szCs w:val="24"/>
        </w:rPr>
        <w:t>”</w:t>
      </w:r>
      <w:r w:rsidRPr="00E06C64">
        <w:rPr>
          <w:rFonts w:ascii="Garamond" w:hAnsi="Garamond"/>
          <w:sz w:val="24"/>
          <w:szCs w:val="24"/>
        </w:rPr>
        <w:t xml:space="preserve"> e </w:t>
      </w:r>
      <w:r w:rsidRPr="00E06C64">
        <w:rPr>
          <w:rFonts w:ascii="Garamond" w:hAnsi="Garamond"/>
          <w:i/>
          <w:sz w:val="24"/>
          <w:szCs w:val="24"/>
        </w:rPr>
        <w:t>argumento por analogia</w:t>
      </w:r>
      <w:r w:rsidRPr="00E06C64">
        <w:rPr>
          <w:rFonts w:ascii="Garamond" w:hAnsi="Garamond"/>
          <w:sz w:val="24"/>
          <w:szCs w:val="24"/>
        </w:rPr>
        <w:t>, não depende de uma apreciação subjectiva, mas é orientada por valores, isto é, por um “</w:t>
      </w:r>
      <w:r w:rsidRPr="00E06C64">
        <w:rPr>
          <w:rFonts w:ascii="Garamond" w:hAnsi="Garamond"/>
          <w:sz w:val="24"/>
          <w:szCs w:val="24"/>
          <w:u w:val="single"/>
        </w:rPr>
        <w:t>pensamento teleológico</w:t>
      </w:r>
      <w:r w:rsidRPr="00E06C64">
        <w:rPr>
          <w:rFonts w:ascii="Garamond" w:hAnsi="Garamond"/>
          <w:sz w:val="24"/>
          <w:szCs w:val="24"/>
        </w:rPr>
        <w:t>”</w:t>
      </w:r>
      <w:r w:rsidRPr="00E06C64">
        <w:rPr>
          <w:rStyle w:val="Refdenotaderodap"/>
          <w:rFonts w:ascii="Garamond" w:hAnsi="Garamond"/>
          <w:sz w:val="24"/>
          <w:szCs w:val="24"/>
        </w:rPr>
        <w:footnoteReference w:id="18"/>
      </w:r>
      <w:r w:rsidRPr="00E06C64">
        <w:rPr>
          <w:rFonts w:ascii="Garamond" w:hAnsi="Garamond"/>
          <w:sz w:val="24"/>
          <w:szCs w:val="24"/>
        </w:rPr>
        <w:t>.</w:t>
      </w:r>
    </w:p>
    <w:p w:rsidR="00955249" w:rsidRPr="00E06C64" w:rsidRDefault="00955249" w:rsidP="00955249">
      <w:pPr>
        <w:spacing w:after="0" w:line="360" w:lineRule="auto"/>
        <w:jc w:val="both"/>
        <w:rPr>
          <w:rFonts w:ascii="Garamond" w:hAnsi="Garamond"/>
          <w:sz w:val="24"/>
          <w:szCs w:val="24"/>
        </w:rPr>
      </w:pPr>
    </w:p>
    <w:p w:rsidR="00955249" w:rsidRPr="00E06C64" w:rsidRDefault="00955249" w:rsidP="00955249">
      <w:pPr>
        <w:spacing w:after="120" w:line="360" w:lineRule="auto"/>
        <w:jc w:val="both"/>
        <w:rPr>
          <w:rFonts w:ascii="Garamond" w:hAnsi="Garamond"/>
          <w:b/>
          <w:sz w:val="24"/>
          <w:szCs w:val="24"/>
        </w:rPr>
      </w:pPr>
      <w:r w:rsidRPr="00E06C64">
        <w:rPr>
          <w:rFonts w:ascii="Garamond" w:hAnsi="Garamond"/>
          <w:sz w:val="24"/>
          <w:szCs w:val="24"/>
          <w:u w:val="single"/>
        </w:rPr>
        <w:t>Conclusão</w:t>
      </w:r>
      <w:r w:rsidRPr="00E06C64">
        <w:rPr>
          <w:rFonts w:ascii="Garamond" w:hAnsi="Garamond"/>
          <w:sz w:val="24"/>
          <w:szCs w:val="24"/>
        </w:rPr>
        <w:t xml:space="preserve"> - do pensamento destes autores decorre que a escolha entre o </w:t>
      </w:r>
      <w:r w:rsidRPr="00E06C64">
        <w:rPr>
          <w:rFonts w:ascii="Garamond" w:hAnsi="Garamond"/>
          <w:i/>
          <w:sz w:val="24"/>
          <w:szCs w:val="24"/>
        </w:rPr>
        <w:t>argumento de analogia</w:t>
      </w:r>
      <w:r w:rsidRPr="00E06C64">
        <w:rPr>
          <w:rFonts w:ascii="Garamond" w:hAnsi="Garamond"/>
          <w:sz w:val="24"/>
          <w:szCs w:val="24"/>
        </w:rPr>
        <w:t xml:space="preserve"> e o </w:t>
      </w:r>
      <w:r w:rsidRPr="00E06C64">
        <w:rPr>
          <w:rFonts w:ascii="Garamond" w:hAnsi="Garamond"/>
          <w:i/>
          <w:sz w:val="24"/>
          <w:szCs w:val="24"/>
        </w:rPr>
        <w:t xml:space="preserve">argumento “a </w:t>
      </w:r>
      <w:proofErr w:type="gramStart"/>
      <w:r w:rsidRPr="00E06C64">
        <w:rPr>
          <w:rFonts w:ascii="Garamond" w:hAnsi="Garamond"/>
          <w:i/>
          <w:sz w:val="24"/>
          <w:szCs w:val="24"/>
        </w:rPr>
        <w:t>contrario</w:t>
      </w:r>
      <w:proofErr w:type="gramEnd"/>
      <w:r w:rsidRPr="00E06C64">
        <w:rPr>
          <w:rFonts w:ascii="Garamond" w:hAnsi="Garamond"/>
          <w:i/>
          <w:sz w:val="24"/>
          <w:szCs w:val="24"/>
        </w:rPr>
        <w:t xml:space="preserve">” </w:t>
      </w:r>
      <w:r w:rsidRPr="00E06C64">
        <w:rPr>
          <w:rFonts w:ascii="Garamond" w:hAnsi="Garamond"/>
          <w:sz w:val="24"/>
          <w:szCs w:val="24"/>
        </w:rPr>
        <w:t xml:space="preserve">passa pela análise da </w:t>
      </w:r>
      <w:r w:rsidRPr="00E06C64">
        <w:rPr>
          <w:rFonts w:ascii="Garamond" w:hAnsi="Garamond"/>
          <w:i/>
          <w:sz w:val="24"/>
          <w:szCs w:val="24"/>
          <w:u w:val="single"/>
        </w:rPr>
        <w:t>teleologia da lei</w:t>
      </w:r>
      <w:r w:rsidRPr="000713E0">
        <w:rPr>
          <w:rFonts w:ascii="Garamond" w:hAnsi="Garamond"/>
          <w:sz w:val="24"/>
          <w:szCs w:val="24"/>
        </w:rPr>
        <w:t>:</w:t>
      </w:r>
      <w:r w:rsidRPr="00E06C64">
        <w:rPr>
          <w:rFonts w:ascii="Garamond" w:hAnsi="Garamond"/>
          <w:sz w:val="24"/>
          <w:szCs w:val="24"/>
        </w:rPr>
        <w:t xml:space="preserve"> ideia de que para se perceber a intenção da lei, a</w:t>
      </w:r>
      <w:r w:rsidRPr="00E06C64">
        <w:rPr>
          <w:rFonts w:ascii="Garamond" w:hAnsi="Garamond"/>
          <w:i/>
          <w:sz w:val="24"/>
          <w:szCs w:val="24"/>
        </w:rPr>
        <w:t xml:space="preserve"> </w:t>
      </w:r>
      <w:r w:rsidRPr="00E06C64">
        <w:rPr>
          <w:rFonts w:ascii="Garamond" w:hAnsi="Garamond"/>
          <w:sz w:val="24"/>
          <w:szCs w:val="24"/>
        </w:rPr>
        <w:t>lógica tem de combinar-se com a teleologia</w:t>
      </w:r>
      <w:r w:rsidRPr="00E06C64">
        <w:rPr>
          <w:rFonts w:ascii="Garamond" w:hAnsi="Garamond"/>
          <w:i/>
          <w:sz w:val="24"/>
          <w:szCs w:val="24"/>
        </w:rPr>
        <w:t xml:space="preserve">. </w:t>
      </w:r>
      <w:r w:rsidRPr="00E06C64">
        <w:rPr>
          <w:rFonts w:ascii="Garamond" w:hAnsi="Garamond"/>
          <w:sz w:val="24"/>
          <w:szCs w:val="24"/>
        </w:rPr>
        <w:t xml:space="preserve">Assim, </w:t>
      </w:r>
      <w:r w:rsidRPr="00E06C64">
        <w:rPr>
          <w:rFonts w:ascii="Garamond" w:hAnsi="Garamond"/>
          <w:sz w:val="24"/>
          <w:szCs w:val="24"/>
        </w:rPr>
        <w:lastRenderedPageBreak/>
        <w:t xml:space="preserve">usamos o </w:t>
      </w:r>
      <w:r w:rsidRPr="00E06C64">
        <w:rPr>
          <w:rFonts w:ascii="Garamond" w:hAnsi="Garamond"/>
          <w:i/>
          <w:sz w:val="24"/>
          <w:szCs w:val="24"/>
        </w:rPr>
        <w:t>argumento “a contrario”</w:t>
      </w:r>
      <w:r w:rsidRPr="00E06C64">
        <w:rPr>
          <w:rFonts w:ascii="Garamond" w:hAnsi="Garamond"/>
          <w:sz w:val="24"/>
          <w:szCs w:val="24"/>
        </w:rPr>
        <w:t xml:space="preserve"> quando o caso concreto </w:t>
      </w:r>
      <w:r w:rsidRPr="00E06C64">
        <w:rPr>
          <w:rFonts w:ascii="Garamond" w:hAnsi="Garamond"/>
          <w:b/>
          <w:sz w:val="24"/>
          <w:szCs w:val="24"/>
        </w:rPr>
        <w:t>está mais distante</w:t>
      </w:r>
      <w:r w:rsidRPr="00E06C64">
        <w:rPr>
          <w:rFonts w:ascii="Garamond" w:hAnsi="Garamond"/>
          <w:sz w:val="24"/>
          <w:szCs w:val="24"/>
        </w:rPr>
        <w:t xml:space="preserve"> da teleologia ou finalidade da lei a aplicar, isto é, quando não procedem as mesmas razões justificativas presentes na situação regulada, razão pela qual a norma não pode resolver este caso, e, como tal, apenas serve para determinar o regime geral que tem uma natureza oposta. E usamos o </w:t>
      </w:r>
      <w:r w:rsidRPr="00E06C64">
        <w:rPr>
          <w:rFonts w:ascii="Garamond" w:hAnsi="Garamond"/>
          <w:i/>
          <w:sz w:val="24"/>
          <w:szCs w:val="24"/>
        </w:rPr>
        <w:t>argumento de analogia</w:t>
      </w:r>
      <w:r w:rsidRPr="00E06C64">
        <w:rPr>
          <w:rFonts w:ascii="Garamond" w:hAnsi="Garamond"/>
          <w:sz w:val="24"/>
          <w:szCs w:val="24"/>
        </w:rPr>
        <w:t xml:space="preserve">, quando a situação fáctica </w:t>
      </w:r>
      <w:r w:rsidRPr="00E06C64">
        <w:rPr>
          <w:rFonts w:ascii="Garamond" w:hAnsi="Garamond"/>
          <w:b/>
          <w:sz w:val="24"/>
          <w:szCs w:val="24"/>
        </w:rPr>
        <w:t>está mais próxima</w:t>
      </w:r>
      <w:r w:rsidRPr="00E06C64">
        <w:rPr>
          <w:rFonts w:ascii="Garamond" w:hAnsi="Garamond"/>
          <w:sz w:val="24"/>
          <w:szCs w:val="24"/>
        </w:rPr>
        <w:t xml:space="preserve"> da teleologia da lei, o que vem justificar a sua aplicação para resolver essa situação.</w:t>
      </w:r>
    </w:p>
    <w:p w:rsidR="00955249" w:rsidRPr="00E06C64" w:rsidRDefault="00955249" w:rsidP="00955249">
      <w:pPr>
        <w:spacing w:after="120" w:line="360" w:lineRule="auto"/>
        <w:jc w:val="both"/>
        <w:rPr>
          <w:rFonts w:ascii="Garamond" w:hAnsi="Garamond"/>
          <w:sz w:val="24"/>
          <w:szCs w:val="24"/>
        </w:rPr>
      </w:pPr>
    </w:p>
    <w:p w:rsidR="00535474" w:rsidRDefault="00535474"/>
    <w:sectPr w:rsidR="00535474" w:rsidSect="0053547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C7" w:rsidRDefault="007641C7" w:rsidP="00955249">
      <w:pPr>
        <w:spacing w:after="0" w:line="240" w:lineRule="auto"/>
      </w:pPr>
      <w:r>
        <w:separator/>
      </w:r>
    </w:p>
  </w:endnote>
  <w:endnote w:type="continuationSeparator" w:id="0">
    <w:p w:rsidR="007641C7" w:rsidRDefault="007641C7" w:rsidP="0095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C7" w:rsidRDefault="007641C7" w:rsidP="00955249">
      <w:pPr>
        <w:spacing w:after="0" w:line="240" w:lineRule="auto"/>
      </w:pPr>
      <w:r>
        <w:separator/>
      </w:r>
    </w:p>
  </w:footnote>
  <w:footnote w:type="continuationSeparator" w:id="0">
    <w:p w:rsidR="007641C7" w:rsidRDefault="007641C7" w:rsidP="00955249">
      <w:pPr>
        <w:spacing w:after="0" w:line="240" w:lineRule="auto"/>
      </w:pPr>
      <w:r>
        <w:continuationSeparator/>
      </w:r>
    </w:p>
  </w:footnote>
  <w:footnote w:id="1">
    <w:p w:rsidR="00955249" w:rsidRPr="00A6443D" w:rsidRDefault="00955249" w:rsidP="00955249">
      <w:pPr>
        <w:spacing w:after="0" w:line="240" w:lineRule="auto"/>
        <w:jc w:val="both"/>
        <w:rPr>
          <w:rFonts w:ascii="Garamond" w:hAnsi="Garamond"/>
          <w:sz w:val="20"/>
          <w:szCs w:val="20"/>
        </w:rPr>
      </w:pPr>
      <w:r w:rsidRPr="00A6443D">
        <w:rPr>
          <w:rStyle w:val="Refdenotaderodap"/>
          <w:rFonts w:ascii="Garamond" w:hAnsi="Garamond"/>
          <w:sz w:val="20"/>
          <w:szCs w:val="20"/>
        </w:rPr>
        <w:footnoteRef/>
      </w:r>
      <w:r w:rsidRPr="00A6443D">
        <w:rPr>
          <w:rFonts w:ascii="Garamond" w:hAnsi="Garamond"/>
          <w:sz w:val="20"/>
          <w:szCs w:val="20"/>
        </w:rPr>
        <w:t xml:space="preserve"> Com este entendimento, </w:t>
      </w:r>
      <w:r w:rsidRPr="00A6443D">
        <w:rPr>
          <w:rFonts w:ascii="Garamond" w:hAnsi="Garamond"/>
          <w:i/>
          <w:sz w:val="20"/>
          <w:szCs w:val="20"/>
        </w:rPr>
        <w:t>vide</w:t>
      </w:r>
      <w:r w:rsidRPr="00A6443D">
        <w:rPr>
          <w:rFonts w:ascii="Garamond" w:hAnsi="Garamond"/>
          <w:sz w:val="20"/>
          <w:szCs w:val="20"/>
        </w:rPr>
        <w:t xml:space="preserve"> </w:t>
      </w:r>
      <w:r w:rsidRPr="00A6443D">
        <w:rPr>
          <w:rFonts w:ascii="Garamond" w:hAnsi="Garamond"/>
          <w:caps/>
          <w:sz w:val="20"/>
          <w:szCs w:val="20"/>
        </w:rPr>
        <w:t>Miguel Teixeira de Sousa,</w:t>
      </w:r>
      <w:r w:rsidRPr="00A6443D">
        <w:rPr>
          <w:rFonts w:ascii="Garamond" w:hAnsi="Garamond"/>
          <w:b/>
          <w:sz w:val="20"/>
          <w:szCs w:val="20"/>
        </w:rPr>
        <w:t xml:space="preserve"> </w:t>
      </w:r>
      <w:r w:rsidRPr="00A6443D">
        <w:rPr>
          <w:rFonts w:ascii="Garamond" w:hAnsi="Garamond"/>
          <w:i/>
          <w:sz w:val="20"/>
          <w:szCs w:val="20"/>
        </w:rPr>
        <w:t>Introdução ao Direito…</w:t>
      </w:r>
      <w:r w:rsidRPr="00A6443D">
        <w:rPr>
          <w:rFonts w:ascii="Garamond" w:hAnsi="Garamond"/>
          <w:sz w:val="20"/>
          <w:szCs w:val="20"/>
        </w:rPr>
        <w:t>, p. 374.</w:t>
      </w:r>
    </w:p>
  </w:footnote>
  <w:footnote w:id="2">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Referindo estes exemplos da jurisprudência portuguesa, entre outros, </w:t>
      </w:r>
      <w:r w:rsidRPr="00A6443D">
        <w:rPr>
          <w:rFonts w:ascii="Garamond" w:hAnsi="Garamond"/>
          <w:caps/>
        </w:rPr>
        <w:t>Miguel Teixeira de Sousa,</w:t>
      </w:r>
      <w:r w:rsidRPr="00A6443D">
        <w:rPr>
          <w:rFonts w:ascii="Garamond" w:hAnsi="Garamond"/>
          <w:b/>
        </w:rPr>
        <w:t xml:space="preserve"> </w:t>
      </w:r>
      <w:r w:rsidRPr="00A6443D">
        <w:rPr>
          <w:rFonts w:ascii="Garamond" w:hAnsi="Garamond"/>
          <w:i/>
        </w:rPr>
        <w:t>Introdução ao Direito…</w:t>
      </w:r>
      <w:r w:rsidRPr="00A6443D">
        <w:rPr>
          <w:rFonts w:ascii="Garamond" w:hAnsi="Garamond"/>
        </w:rPr>
        <w:t>, pp. 376 e 377.</w:t>
      </w:r>
    </w:p>
  </w:footnote>
  <w:footnote w:id="3">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Tal como referido </w:t>
      </w:r>
      <w:r w:rsidRPr="00A6443D">
        <w:rPr>
          <w:rFonts w:ascii="Garamond" w:hAnsi="Garamond"/>
          <w:i/>
        </w:rPr>
        <w:t>supra</w:t>
      </w:r>
      <w:r w:rsidRPr="00A6443D">
        <w:rPr>
          <w:rFonts w:ascii="Garamond" w:hAnsi="Garamond"/>
        </w:rPr>
        <w:t>.</w:t>
      </w:r>
    </w:p>
  </w:footnote>
  <w:footnote w:id="4">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Tal como referido </w:t>
      </w:r>
      <w:r w:rsidRPr="00A6443D">
        <w:rPr>
          <w:rFonts w:ascii="Garamond" w:hAnsi="Garamond"/>
          <w:i/>
        </w:rPr>
        <w:t>supra</w:t>
      </w:r>
      <w:r w:rsidRPr="00A6443D">
        <w:rPr>
          <w:rFonts w:ascii="Garamond" w:hAnsi="Garamond"/>
        </w:rPr>
        <w:t>.</w:t>
      </w:r>
    </w:p>
  </w:footnote>
  <w:footnote w:id="5">
    <w:p w:rsidR="00955249" w:rsidRPr="00A6443D" w:rsidRDefault="00955249" w:rsidP="00955249">
      <w:pPr>
        <w:tabs>
          <w:tab w:val="left" w:pos="7560"/>
        </w:tabs>
        <w:spacing w:after="0"/>
        <w:jc w:val="both"/>
        <w:rPr>
          <w:rFonts w:ascii="Garamond" w:hAnsi="Garamond"/>
          <w:sz w:val="20"/>
          <w:szCs w:val="20"/>
        </w:rPr>
      </w:pPr>
      <w:r w:rsidRPr="00A6443D">
        <w:rPr>
          <w:rStyle w:val="Refdenotaderodap"/>
          <w:rFonts w:ascii="Garamond" w:hAnsi="Garamond"/>
          <w:sz w:val="20"/>
          <w:szCs w:val="20"/>
        </w:rPr>
        <w:footnoteRef/>
      </w:r>
      <w:r w:rsidRPr="00A6443D">
        <w:rPr>
          <w:rFonts w:ascii="Garamond" w:hAnsi="Garamond"/>
          <w:sz w:val="20"/>
          <w:szCs w:val="20"/>
        </w:rPr>
        <w:t xml:space="preserve"> Cfr. Fernando José Bronze, </w:t>
      </w:r>
      <w:r w:rsidRPr="00A6443D">
        <w:rPr>
          <w:rFonts w:ascii="Garamond" w:hAnsi="Garamond"/>
          <w:i/>
          <w:sz w:val="20"/>
          <w:szCs w:val="20"/>
        </w:rPr>
        <w:t>Lições de Introdução ao Direito,</w:t>
      </w:r>
      <w:r w:rsidRPr="00A6443D">
        <w:rPr>
          <w:rFonts w:ascii="Garamond" w:hAnsi="Garamond"/>
          <w:sz w:val="20"/>
          <w:szCs w:val="20"/>
        </w:rPr>
        <w:t xml:space="preserve"> 2.ª ed. (</w:t>
      </w:r>
      <w:proofErr w:type="spellStart"/>
      <w:r w:rsidRPr="00A6443D">
        <w:rPr>
          <w:rFonts w:ascii="Garamond" w:hAnsi="Garamond"/>
          <w:sz w:val="20"/>
          <w:szCs w:val="20"/>
        </w:rPr>
        <w:t>reimp</w:t>
      </w:r>
      <w:proofErr w:type="spellEnd"/>
      <w:r w:rsidRPr="00A6443D">
        <w:rPr>
          <w:rFonts w:ascii="Garamond" w:hAnsi="Garamond"/>
          <w:sz w:val="20"/>
          <w:szCs w:val="20"/>
        </w:rPr>
        <w:t>.), Coimbra, 2010, p. 850.</w:t>
      </w:r>
    </w:p>
  </w:footnote>
  <w:footnote w:id="6">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w:t>
      </w:r>
      <w:r w:rsidRPr="00A6443D">
        <w:rPr>
          <w:rFonts w:ascii="Garamond" w:hAnsi="Garamond"/>
          <w:i/>
        </w:rPr>
        <w:t>Vide</w:t>
      </w:r>
      <w:r w:rsidRPr="00A6443D">
        <w:rPr>
          <w:rFonts w:ascii="Garamond" w:hAnsi="Garamond"/>
        </w:rPr>
        <w:t xml:space="preserve"> </w:t>
      </w:r>
      <w:r w:rsidRPr="00A6443D">
        <w:rPr>
          <w:rFonts w:ascii="Garamond" w:hAnsi="Garamond"/>
          <w:i/>
        </w:rPr>
        <w:t>supra</w:t>
      </w:r>
      <w:r w:rsidRPr="00A6443D">
        <w:rPr>
          <w:rFonts w:ascii="Garamond" w:hAnsi="Garamond"/>
        </w:rPr>
        <w:t xml:space="preserve"> 16.2.3.2.</w:t>
      </w:r>
    </w:p>
  </w:footnote>
  <w:footnote w:id="7">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w:t>
      </w:r>
      <w:r w:rsidRPr="00A6443D">
        <w:rPr>
          <w:rFonts w:ascii="Garamond" w:hAnsi="Garamond"/>
          <w:i/>
        </w:rPr>
        <w:t>Supra</w:t>
      </w:r>
      <w:r w:rsidRPr="00A6443D">
        <w:rPr>
          <w:rFonts w:ascii="Garamond" w:hAnsi="Garamond"/>
        </w:rPr>
        <w:t xml:space="preserve"> 17.3.3.3. </w:t>
      </w:r>
    </w:p>
  </w:footnote>
  <w:footnote w:id="8">
    <w:p w:rsidR="00955249" w:rsidRPr="00A6443D" w:rsidRDefault="00955249" w:rsidP="00955249">
      <w:pPr>
        <w:spacing w:after="0" w:line="240" w:lineRule="auto"/>
        <w:jc w:val="both"/>
        <w:rPr>
          <w:rFonts w:ascii="Garamond" w:hAnsi="Garamond"/>
          <w:sz w:val="20"/>
          <w:szCs w:val="20"/>
        </w:rPr>
      </w:pPr>
      <w:r w:rsidRPr="00A6443D">
        <w:rPr>
          <w:rStyle w:val="Refdenotaderodap"/>
          <w:rFonts w:ascii="Garamond" w:hAnsi="Garamond"/>
          <w:sz w:val="20"/>
          <w:szCs w:val="20"/>
        </w:rPr>
        <w:footnoteRef/>
      </w:r>
      <w:r w:rsidRPr="00A6443D">
        <w:rPr>
          <w:rFonts w:ascii="Garamond" w:hAnsi="Garamond"/>
          <w:sz w:val="20"/>
          <w:szCs w:val="20"/>
        </w:rPr>
        <w:t xml:space="preserve"> Esta dificuldade tem levado, mesmo, a posições que negam a possibilidade de separação entre interpretação extensiva e analogia </w:t>
      </w:r>
      <w:proofErr w:type="spellStart"/>
      <w:r w:rsidRPr="00A6443D">
        <w:rPr>
          <w:rFonts w:ascii="Garamond" w:hAnsi="Garamond"/>
          <w:i/>
          <w:sz w:val="20"/>
          <w:szCs w:val="20"/>
        </w:rPr>
        <w:t>legis</w:t>
      </w:r>
      <w:proofErr w:type="spellEnd"/>
      <w:r w:rsidRPr="00A6443D">
        <w:rPr>
          <w:rFonts w:ascii="Garamond" w:hAnsi="Garamond"/>
          <w:sz w:val="20"/>
          <w:szCs w:val="20"/>
        </w:rPr>
        <w:t xml:space="preserve">, cfr. MARCO </w:t>
      </w:r>
      <w:proofErr w:type="gramStart"/>
      <w:r w:rsidRPr="00A6443D">
        <w:rPr>
          <w:rFonts w:ascii="Garamond" w:hAnsi="Garamond"/>
          <w:sz w:val="20"/>
          <w:szCs w:val="20"/>
        </w:rPr>
        <w:t xml:space="preserve">BOSCARELLI,  </w:t>
      </w:r>
      <w:proofErr w:type="spellStart"/>
      <w:r w:rsidRPr="00A6443D">
        <w:rPr>
          <w:rFonts w:ascii="Garamond" w:hAnsi="Garamond"/>
          <w:i/>
          <w:iCs/>
          <w:sz w:val="20"/>
          <w:szCs w:val="20"/>
        </w:rPr>
        <w:t>L’analogia</w:t>
      </w:r>
      <w:proofErr w:type="spellEnd"/>
      <w:proofErr w:type="gramEnd"/>
      <w:r w:rsidRPr="00A6443D">
        <w:rPr>
          <w:rFonts w:ascii="Garamond" w:hAnsi="Garamond"/>
          <w:i/>
          <w:iCs/>
          <w:sz w:val="20"/>
          <w:szCs w:val="20"/>
        </w:rPr>
        <w:t xml:space="preserve"> </w:t>
      </w:r>
      <w:proofErr w:type="spellStart"/>
      <w:r w:rsidRPr="00A6443D">
        <w:rPr>
          <w:rFonts w:ascii="Garamond" w:hAnsi="Garamond"/>
          <w:i/>
          <w:iCs/>
          <w:sz w:val="20"/>
          <w:szCs w:val="20"/>
        </w:rPr>
        <w:t>giuridica</w:t>
      </w:r>
      <w:proofErr w:type="spellEnd"/>
      <w:r w:rsidRPr="00A6443D">
        <w:rPr>
          <w:rFonts w:ascii="Garamond" w:hAnsi="Garamond"/>
          <w:i/>
          <w:iCs/>
          <w:sz w:val="20"/>
          <w:szCs w:val="20"/>
        </w:rPr>
        <w:t xml:space="preserve">, </w:t>
      </w:r>
      <w:r w:rsidRPr="00A6443D">
        <w:rPr>
          <w:rFonts w:ascii="Garamond" w:hAnsi="Garamond"/>
          <w:iCs/>
          <w:sz w:val="20"/>
          <w:szCs w:val="20"/>
        </w:rPr>
        <w:t xml:space="preserve">in </w:t>
      </w:r>
      <w:proofErr w:type="spellStart"/>
      <w:r w:rsidRPr="00A6443D">
        <w:rPr>
          <w:rFonts w:ascii="Garamond" w:hAnsi="Garamond"/>
          <w:iCs/>
          <w:sz w:val="20"/>
          <w:szCs w:val="20"/>
        </w:rPr>
        <w:t>Rivista</w:t>
      </w:r>
      <w:proofErr w:type="spellEnd"/>
      <w:r w:rsidRPr="00A6443D">
        <w:rPr>
          <w:rFonts w:ascii="Garamond" w:hAnsi="Garamond"/>
          <w:iCs/>
          <w:sz w:val="20"/>
          <w:szCs w:val="20"/>
        </w:rPr>
        <w:t xml:space="preserve"> </w:t>
      </w:r>
      <w:proofErr w:type="spellStart"/>
      <w:r w:rsidRPr="00A6443D">
        <w:rPr>
          <w:rFonts w:ascii="Garamond" w:hAnsi="Garamond"/>
          <w:iCs/>
          <w:sz w:val="20"/>
          <w:szCs w:val="20"/>
        </w:rPr>
        <w:t>Trimestrale</w:t>
      </w:r>
      <w:proofErr w:type="spellEnd"/>
      <w:r w:rsidRPr="00A6443D">
        <w:rPr>
          <w:rFonts w:ascii="Garamond" w:hAnsi="Garamond"/>
          <w:iCs/>
          <w:sz w:val="20"/>
          <w:szCs w:val="20"/>
        </w:rPr>
        <w:t xml:space="preserve"> di </w:t>
      </w:r>
      <w:proofErr w:type="spellStart"/>
      <w:r w:rsidRPr="00A6443D">
        <w:rPr>
          <w:rFonts w:ascii="Garamond" w:hAnsi="Garamond"/>
          <w:iCs/>
          <w:sz w:val="20"/>
          <w:szCs w:val="20"/>
        </w:rPr>
        <w:t>Diritto</w:t>
      </w:r>
      <w:proofErr w:type="spellEnd"/>
      <w:r w:rsidRPr="00A6443D">
        <w:rPr>
          <w:rFonts w:ascii="Garamond" w:hAnsi="Garamond"/>
          <w:iCs/>
          <w:sz w:val="20"/>
          <w:szCs w:val="20"/>
        </w:rPr>
        <w:t xml:space="preserve"> e </w:t>
      </w:r>
      <w:proofErr w:type="spellStart"/>
      <w:r w:rsidRPr="00A6443D">
        <w:rPr>
          <w:rFonts w:ascii="Garamond" w:hAnsi="Garamond"/>
          <w:iCs/>
          <w:sz w:val="20"/>
          <w:szCs w:val="20"/>
        </w:rPr>
        <w:t>Procedura</w:t>
      </w:r>
      <w:proofErr w:type="spellEnd"/>
      <w:r w:rsidRPr="00A6443D">
        <w:rPr>
          <w:rFonts w:ascii="Garamond" w:hAnsi="Garamond"/>
          <w:iCs/>
          <w:sz w:val="20"/>
          <w:szCs w:val="20"/>
        </w:rPr>
        <w:t xml:space="preserve"> </w:t>
      </w:r>
      <w:proofErr w:type="spellStart"/>
      <w:r w:rsidRPr="00A6443D">
        <w:rPr>
          <w:rFonts w:ascii="Garamond" w:hAnsi="Garamond"/>
          <w:iCs/>
          <w:sz w:val="20"/>
          <w:szCs w:val="20"/>
        </w:rPr>
        <w:t>Civile</w:t>
      </w:r>
      <w:proofErr w:type="spellEnd"/>
      <w:r w:rsidRPr="00A6443D">
        <w:rPr>
          <w:rFonts w:ascii="Garamond" w:hAnsi="Garamond"/>
          <w:sz w:val="20"/>
          <w:szCs w:val="20"/>
        </w:rPr>
        <w:t>, ano VIII, fasc. 1, 1954, pp. 639 a 641.</w:t>
      </w:r>
    </w:p>
  </w:footnote>
  <w:footnote w:id="9">
    <w:p w:rsidR="00955249" w:rsidRPr="00A6443D" w:rsidRDefault="00955249" w:rsidP="00955249">
      <w:pPr>
        <w:spacing w:after="0" w:line="240" w:lineRule="auto"/>
        <w:jc w:val="both"/>
        <w:rPr>
          <w:rFonts w:ascii="Garamond" w:hAnsi="Garamond"/>
          <w:sz w:val="20"/>
          <w:szCs w:val="20"/>
          <w:highlight w:val="red"/>
        </w:rPr>
      </w:pPr>
      <w:r w:rsidRPr="00A6443D">
        <w:rPr>
          <w:rStyle w:val="Refdenotaderodap"/>
          <w:rFonts w:ascii="Garamond" w:hAnsi="Garamond"/>
          <w:sz w:val="20"/>
          <w:szCs w:val="20"/>
        </w:rPr>
        <w:footnoteRef/>
      </w:r>
      <w:r w:rsidRPr="00A6443D">
        <w:rPr>
          <w:rFonts w:ascii="Garamond" w:hAnsi="Garamond"/>
          <w:sz w:val="20"/>
          <w:szCs w:val="20"/>
        </w:rPr>
        <w:t xml:space="preserve"> No entender de Karl </w:t>
      </w:r>
      <w:proofErr w:type="spellStart"/>
      <w:r w:rsidRPr="00A6443D">
        <w:rPr>
          <w:rFonts w:ascii="Garamond" w:hAnsi="Garamond"/>
          <w:sz w:val="20"/>
          <w:szCs w:val="20"/>
        </w:rPr>
        <w:t>Engisch</w:t>
      </w:r>
      <w:proofErr w:type="spellEnd"/>
      <w:r w:rsidRPr="00A6443D">
        <w:rPr>
          <w:rFonts w:ascii="Garamond" w:hAnsi="Garamond"/>
          <w:sz w:val="20"/>
          <w:szCs w:val="20"/>
        </w:rPr>
        <w:t>, a interpretação encontra o seu limite na letra da lei e é a partir daí que “começa a indagação de um argumento de analogia”</w:t>
      </w:r>
      <w:proofErr w:type="gramStart"/>
      <w:r w:rsidRPr="00A6443D">
        <w:rPr>
          <w:rFonts w:ascii="Garamond" w:hAnsi="Garamond"/>
          <w:sz w:val="20"/>
          <w:szCs w:val="20"/>
        </w:rPr>
        <w:t>,</w:t>
      </w:r>
      <w:proofErr w:type="gramEnd"/>
      <w:r w:rsidRPr="00A6443D">
        <w:rPr>
          <w:rFonts w:ascii="Garamond" w:hAnsi="Garamond"/>
          <w:sz w:val="20"/>
          <w:szCs w:val="20"/>
        </w:rPr>
        <w:t xml:space="preserve"> cfr., </w:t>
      </w:r>
      <w:r w:rsidRPr="00A6443D">
        <w:rPr>
          <w:rFonts w:ascii="Garamond" w:hAnsi="Garamond"/>
          <w:caps/>
          <w:sz w:val="20"/>
          <w:szCs w:val="20"/>
        </w:rPr>
        <w:t>Karl Engisch,</w:t>
      </w:r>
      <w:r w:rsidRPr="00A6443D">
        <w:rPr>
          <w:rFonts w:ascii="Garamond" w:hAnsi="Garamond"/>
          <w:b/>
          <w:sz w:val="20"/>
          <w:szCs w:val="20"/>
        </w:rPr>
        <w:t xml:space="preserve"> </w:t>
      </w:r>
      <w:r w:rsidRPr="00A6443D">
        <w:rPr>
          <w:rFonts w:ascii="Garamond" w:hAnsi="Garamond"/>
          <w:i/>
          <w:sz w:val="20"/>
          <w:szCs w:val="20"/>
        </w:rPr>
        <w:t>Introdução ao Pensamento Jurídico</w:t>
      </w:r>
      <w:r w:rsidRPr="00A6443D">
        <w:rPr>
          <w:rFonts w:ascii="Garamond" w:hAnsi="Garamond"/>
          <w:sz w:val="20"/>
          <w:szCs w:val="20"/>
        </w:rPr>
        <w:t xml:space="preserve">, </w:t>
      </w:r>
      <w:proofErr w:type="spellStart"/>
      <w:r w:rsidRPr="00A6443D">
        <w:rPr>
          <w:rFonts w:ascii="Garamond" w:hAnsi="Garamond"/>
          <w:sz w:val="20"/>
          <w:szCs w:val="20"/>
        </w:rPr>
        <w:t>trad</w:t>
      </w:r>
      <w:proofErr w:type="spellEnd"/>
      <w:r w:rsidRPr="00A6443D">
        <w:rPr>
          <w:rFonts w:ascii="Garamond" w:hAnsi="Garamond"/>
          <w:sz w:val="20"/>
          <w:szCs w:val="20"/>
        </w:rPr>
        <w:t xml:space="preserve">. </w:t>
      </w:r>
      <w:proofErr w:type="spellStart"/>
      <w:proofErr w:type="gramStart"/>
      <w:r w:rsidRPr="00A6443D">
        <w:rPr>
          <w:rFonts w:ascii="Garamond" w:hAnsi="Garamond"/>
          <w:sz w:val="20"/>
          <w:szCs w:val="20"/>
        </w:rPr>
        <w:t>port</w:t>
      </w:r>
      <w:proofErr w:type="spellEnd"/>
      <w:r w:rsidRPr="00A6443D">
        <w:rPr>
          <w:rFonts w:ascii="Garamond" w:hAnsi="Garamond"/>
          <w:sz w:val="20"/>
          <w:szCs w:val="20"/>
        </w:rPr>
        <w:t>.</w:t>
      </w:r>
      <w:proofErr w:type="gramEnd"/>
      <w:r w:rsidRPr="00A6443D">
        <w:rPr>
          <w:rFonts w:ascii="Garamond" w:hAnsi="Garamond"/>
          <w:sz w:val="20"/>
          <w:szCs w:val="20"/>
        </w:rPr>
        <w:t>, Lisboa, 1997, p. 294.</w:t>
      </w:r>
    </w:p>
  </w:footnote>
  <w:footnote w:id="10">
    <w:p w:rsidR="00955249" w:rsidRPr="00A6443D" w:rsidRDefault="00955249" w:rsidP="00955249">
      <w:pPr>
        <w:pStyle w:val="Textodenotaderodap"/>
        <w:jc w:val="both"/>
        <w:rPr>
          <w:rFonts w:ascii="Garamond" w:hAnsi="Garamond"/>
          <w:b/>
        </w:rPr>
      </w:pPr>
      <w:r w:rsidRPr="00A6443D">
        <w:rPr>
          <w:rStyle w:val="Refdenotaderodap"/>
          <w:rFonts w:ascii="Garamond" w:hAnsi="Garamond"/>
        </w:rPr>
        <w:footnoteRef/>
      </w:r>
      <w:r w:rsidRPr="00A6443D">
        <w:rPr>
          <w:rFonts w:ascii="Garamond" w:hAnsi="Garamond"/>
        </w:rPr>
        <w:t xml:space="preserve"> Cfr. </w:t>
      </w:r>
      <w:r w:rsidRPr="00A6443D">
        <w:rPr>
          <w:rFonts w:ascii="Garamond" w:hAnsi="Garamond"/>
          <w:caps/>
        </w:rPr>
        <w:t>Karl Engisch,</w:t>
      </w:r>
      <w:r w:rsidRPr="00A6443D">
        <w:rPr>
          <w:rFonts w:ascii="Garamond" w:hAnsi="Garamond"/>
          <w:b/>
        </w:rPr>
        <w:t xml:space="preserve"> </w:t>
      </w:r>
      <w:r w:rsidRPr="00A6443D">
        <w:rPr>
          <w:rFonts w:ascii="Garamond" w:hAnsi="Garamond"/>
          <w:i/>
        </w:rPr>
        <w:t>Introdução ao Pensamento…</w:t>
      </w:r>
      <w:r w:rsidRPr="00A6443D">
        <w:rPr>
          <w:rFonts w:ascii="Garamond" w:hAnsi="Garamond"/>
        </w:rPr>
        <w:t>, p. 298.</w:t>
      </w:r>
    </w:p>
  </w:footnote>
  <w:footnote w:id="11">
    <w:p w:rsidR="00955249" w:rsidRPr="00A6443D" w:rsidRDefault="00955249" w:rsidP="00955249">
      <w:pPr>
        <w:pStyle w:val="Textodenotaderodap"/>
        <w:jc w:val="both"/>
        <w:rPr>
          <w:rFonts w:ascii="Garamond" w:hAnsi="Garamond"/>
          <w:b/>
        </w:rPr>
      </w:pPr>
      <w:r w:rsidRPr="00A6443D">
        <w:rPr>
          <w:rStyle w:val="Refdenotaderodap"/>
          <w:rFonts w:ascii="Garamond" w:hAnsi="Garamond"/>
        </w:rPr>
        <w:footnoteRef/>
      </w:r>
      <w:r w:rsidRPr="00A6443D">
        <w:rPr>
          <w:rFonts w:ascii="Garamond" w:hAnsi="Garamond"/>
        </w:rPr>
        <w:t xml:space="preserve"> Cfr. </w:t>
      </w:r>
      <w:r w:rsidRPr="00A6443D">
        <w:rPr>
          <w:rFonts w:ascii="Garamond" w:hAnsi="Garamond"/>
          <w:caps/>
        </w:rPr>
        <w:t>Karl Engisch,</w:t>
      </w:r>
      <w:r w:rsidRPr="00A6443D">
        <w:rPr>
          <w:rFonts w:ascii="Garamond" w:hAnsi="Garamond"/>
          <w:b/>
        </w:rPr>
        <w:t xml:space="preserve"> </w:t>
      </w:r>
      <w:r w:rsidRPr="00A6443D">
        <w:rPr>
          <w:rFonts w:ascii="Garamond" w:hAnsi="Garamond"/>
          <w:i/>
        </w:rPr>
        <w:t>Introdução ao Pensamento…</w:t>
      </w:r>
      <w:r w:rsidRPr="00A6443D">
        <w:rPr>
          <w:rFonts w:ascii="Garamond" w:hAnsi="Garamond"/>
        </w:rPr>
        <w:t>, p. 298.</w:t>
      </w:r>
    </w:p>
  </w:footnote>
  <w:footnote w:id="12">
    <w:p w:rsidR="00955249" w:rsidRPr="00A6443D" w:rsidRDefault="00955249" w:rsidP="00955249">
      <w:pPr>
        <w:pStyle w:val="Cabealho5"/>
        <w:spacing w:before="0" w:line="240" w:lineRule="auto"/>
        <w:jc w:val="both"/>
        <w:rPr>
          <w:rFonts w:ascii="Garamond" w:hAnsi="Garamond"/>
          <w:color w:val="000000"/>
          <w:sz w:val="20"/>
          <w:szCs w:val="20"/>
        </w:rPr>
      </w:pPr>
      <w:r w:rsidRPr="00A6443D">
        <w:rPr>
          <w:rStyle w:val="Refdenotaderodap"/>
          <w:rFonts w:ascii="Garamond" w:hAnsi="Garamond"/>
          <w:color w:val="000000"/>
          <w:sz w:val="20"/>
          <w:szCs w:val="20"/>
        </w:rPr>
        <w:footnoteRef/>
      </w:r>
      <w:r w:rsidRPr="00A6443D">
        <w:rPr>
          <w:rFonts w:ascii="Garamond" w:hAnsi="Garamond"/>
          <w:color w:val="000000"/>
          <w:sz w:val="20"/>
          <w:szCs w:val="20"/>
        </w:rPr>
        <w:t xml:space="preserve"> Cfr. KARL LARENZ, </w:t>
      </w:r>
      <w:r w:rsidRPr="00A6443D">
        <w:rPr>
          <w:rFonts w:ascii="Garamond" w:hAnsi="Garamond"/>
          <w:i/>
          <w:color w:val="000000"/>
          <w:sz w:val="20"/>
          <w:szCs w:val="20"/>
        </w:rPr>
        <w:t>Metodologia da Ciência do Direito</w:t>
      </w:r>
      <w:r w:rsidRPr="00A6443D">
        <w:rPr>
          <w:rFonts w:ascii="Garamond" w:hAnsi="Garamond"/>
          <w:color w:val="000000"/>
          <w:sz w:val="20"/>
          <w:szCs w:val="20"/>
        </w:rPr>
        <w:t xml:space="preserve">, </w:t>
      </w:r>
      <w:proofErr w:type="spellStart"/>
      <w:r w:rsidRPr="00A6443D">
        <w:rPr>
          <w:rFonts w:ascii="Garamond" w:hAnsi="Garamond"/>
          <w:color w:val="000000"/>
          <w:sz w:val="20"/>
          <w:szCs w:val="20"/>
        </w:rPr>
        <w:t>trad</w:t>
      </w:r>
      <w:proofErr w:type="spellEnd"/>
      <w:r w:rsidRPr="00A6443D">
        <w:rPr>
          <w:rFonts w:ascii="Garamond" w:hAnsi="Garamond"/>
          <w:color w:val="000000"/>
          <w:sz w:val="20"/>
          <w:szCs w:val="20"/>
        </w:rPr>
        <w:t xml:space="preserve">. </w:t>
      </w:r>
      <w:proofErr w:type="spellStart"/>
      <w:proofErr w:type="gramStart"/>
      <w:r w:rsidRPr="00A6443D">
        <w:rPr>
          <w:rFonts w:ascii="Garamond" w:hAnsi="Garamond"/>
          <w:color w:val="000000"/>
          <w:sz w:val="20"/>
          <w:szCs w:val="20"/>
        </w:rPr>
        <w:t>port</w:t>
      </w:r>
      <w:proofErr w:type="spellEnd"/>
      <w:r w:rsidRPr="00A6443D">
        <w:rPr>
          <w:rFonts w:ascii="Garamond" w:hAnsi="Garamond"/>
          <w:color w:val="000000"/>
          <w:sz w:val="20"/>
          <w:szCs w:val="20"/>
        </w:rPr>
        <w:t>.</w:t>
      </w:r>
      <w:proofErr w:type="gramEnd"/>
      <w:r w:rsidRPr="00A6443D">
        <w:rPr>
          <w:rFonts w:ascii="Garamond" w:hAnsi="Garamond"/>
          <w:color w:val="000000"/>
          <w:sz w:val="20"/>
          <w:szCs w:val="20"/>
        </w:rPr>
        <w:t>, Lisboa, 1997, p. 542.</w:t>
      </w:r>
    </w:p>
    <w:p w:rsidR="00955249" w:rsidRPr="00A6443D" w:rsidRDefault="00955249" w:rsidP="00955249">
      <w:pPr>
        <w:pStyle w:val="Textodenotaderodap"/>
        <w:jc w:val="both"/>
        <w:rPr>
          <w:rFonts w:ascii="Garamond" w:hAnsi="Garamond"/>
        </w:rPr>
      </w:pPr>
    </w:p>
  </w:footnote>
  <w:footnote w:id="13">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w:t>
      </w:r>
      <w:r w:rsidRPr="00A6443D">
        <w:rPr>
          <w:rFonts w:ascii="Garamond" w:hAnsi="Garamond"/>
          <w:i/>
        </w:rPr>
        <w:t>Supra</w:t>
      </w:r>
      <w:r w:rsidRPr="00A6443D">
        <w:rPr>
          <w:rFonts w:ascii="Garamond" w:hAnsi="Garamond"/>
        </w:rPr>
        <w:t xml:space="preserve"> 16.2.3.3.</w:t>
      </w:r>
    </w:p>
  </w:footnote>
  <w:footnote w:id="14">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Cfr. </w:t>
      </w:r>
      <w:r w:rsidRPr="00A6443D">
        <w:rPr>
          <w:rFonts w:ascii="Garamond" w:hAnsi="Garamond"/>
          <w:caps/>
        </w:rPr>
        <w:t>José de Oliveira Ascensão</w:t>
      </w:r>
      <w:r w:rsidRPr="00A6443D">
        <w:rPr>
          <w:rFonts w:ascii="Garamond" w:hAnsi="Garamond"/>
        </w:rPr>
        <w:t xml:space="preserve">, </w:t>
      </w:r>
      <w:r w:rsidRPr="00A6443D">
        <w:rPr>
          <w:rFonts w:ascii="Garamond" w:hAnsi="Garamond"/>
          <w:i/>
        </w:rPr>
        <w:t>O Direito – Introdução</w:t>
      </w:r>
      <w:r w:rsidRPr="00A6443D">
        <w:rPr>
          <w:rFonts w:ascii="Garamond" w:hAnsi="Garamond"/>
        </w:rPr>
        <w:t xml:space="preserve">…, pp. 471 e </w:t>
      </w:r>
      <w:proofErr w:type="spellStart"/>
      <w:r w:rsidRPr="00A6443D">
        <w:rPr>
          <w:rFonts w:ascii="Garamond" w:hAnsi="Garamond"/>
        </w:rPr>
        <w:t>segs</w:t>
      </w:r>
      <w:proofErr w:type="spellEnd"/>
      <w:r w:rsidRPr="00A6443D">
        <w:rPr>
          <w:rFonts w:ascii="Garamond" w:hAnsi="Garamond"/>
        </w:rPr>
        <w:t>.</w:t>
      </w:r>
      <w:r w:rsidRPr="00A6443D">
        <w:rPr>
          <w:rFonts w:ascii="Garamond" w:hAnsi="Garamond"/>
          <w:i/>
        </w:rPr>
        <w:t xml:space="preserve"> </w:t>
      </w:r>
    </w:p>
  </w:footnote>
  <w:footnote w:id="15">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Cfr. </w:t>
      </w:r>
      <w:r w:rsidRPr="00A6443D">
        <w:rPr>
          <w:rFonts w:ascii="Garamond" w:hAnsi="Garamond"/>
          <w:caps/>
        </w:rPr>
        <w:t>Karl Engisch,</w:t>
      </w:r>
      <w:r w:rsidRPr="00A6443D">
        <w:rPr>
          <w:rFonts w:ascii="Garamond" w:hAnsi="Garamond"/>
          <w:b/>
        </w:rPr>
        <w:t xml:space="preserve"> </w:t>
      </w:r>
      <w:r w:rsidRPr="00A6443D">
        <w:rPr>
          <w:rFonts w:ascii="Garamond" w:hAnsi="Garamond"/>
          <w:i/>
        </w:rPr>
        <w:t>Introdução ao Pensamento…</w:t>
      </w:r>
      <w:r w:rsidRPr="00A6443D">
        <w:rPr>
          <w:rFonts w:ascii="Garamond" w:hAnsi="Garamond"/>
        </w:rPr>
        <w:t xml:space="preserve">, pp. 291 e </w:t>
      </w:r>
      <w:proofErr w:type="spellStart"/>
      <w:r w:rsidRPr="00A6443D">
        <w:rPr>
          <w:rFonts w:ascii="Garamond" w:hAnsi="Garamond"/>
        </w:rPr>
        <w:t>segs</w:t>
      </w:r>
      <w:proofErr w:type="spellEnd"/>
      <w:r w:rsidRPr="00A6443D">
        <w:rPr>
          <w:rFonts w:ascii="Garamond" w:hAnsi="Garamond"/>
        </w:rPr>
        <w:t>.</w:t>
      </w:r>
    </w:p>
  </w:footnote>
  <w:footnote w:id="16">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Cfr. </w:t>
      </w:r>
      <w:r w:rsidRPr="00A6443D">
        <w:rPr>
          <w:rFonts w:ascii="Garamond" w:hAnsi="Garamond"/>
          <w:caps/>
        </w:rPr>
        <w:t>Karl Engisch,</w:t>
      </w:r>
      <w:r w:rsidRPr="00A6443D">
        <w:rPr>
          <w:rFonts w:ascii="Garamond" w:hAnsi="Garamond"/>
          <w:b/>
        </w:rPr>
        <w:t xml:space="preserve"> </w:t>
      </w:r>
      <w:r w:rsidRPr="00A6443D">
        <w:rPr>
          <w:rFonts w:ascii="Garamond" w:hAnsi="Garamond"/>
          <w:i/>
        </w:rPr>
        <w:t>Introdução ao Pensamento…</w:t>
      </w:r>
      <w:r w:rsidRPr="00A6443D">
        <w:rPr>
          <w:rFonts w:ascii="Garamond" w:hAnsi="Garamond"/>
        </w:rPr>
        <w:t>, p. 292.</w:t>
      </w:r>
    </w:p>
  </w:footnote>
  <w:footnote w:id="17">
    <w:p w:rsidR="00955249" w:rsidRPr="00A6443D" w:rsidRDefault="00955249" w:rsidP="00955249">
      <w:pPr>
        <w:spacing w:after="0" w:line="240" w:lineRule="auto"/>
        <w:jc w:val="both"/>
        <w:rPr>
          <w:rFonts w:ascii="Garamond" w:hAnsi="Garamond"/>
          <w:b/>
          <w:sz w:val="20"/>
          <w:szCs w:val="20"/>
        </w:rPr>
      </w:pPr>
      <w:r w:rsidRPr="00A6443D">
        <w:rPr>
          <w:rStyle w:val="Refdenotaderodap"/>
          <w:rFonts w:ascii="Garamond" w:hAnsi="Garamond"/>
          <w:sz w:val="20"/>
          <w:szCs w:val="20"/>
        </w:rPr>
        <w:footnoteRef/>
      </w:r>
      <w:r w:rsidRPr="00A6443D">
        <w:rPr>
          <w:rFonts w:ascii="Garamond" w:hAnsi="Garamond"/>
          <w:sz w:val="20"/>
          <w:szCs w:val="20"/>
        </w:rPr>
        <w:t xml:space="preserve"> Cfr. </w:t>
      </w:r>
      <w:r w:rsidRPr="00A6443D">
        <w:rPr>
          <w:rFonts w:ascii="Garamond" w:hAnsi="Garamond"/>
          <w:caps/>
          <w:sz w:val="20"/>
          <w:szCs w:val="20"/>
        </w:rPr>
        <w:t>António Castanheira Neves</w:t>
      </w:r>
      <w:r w:rsidRPr="00A6443D">
        <w:rPr>
          <w:rFonts w:ascii="Garamond" w:hAnsi="Garamond"/>
          <w:b/>
          <w:sz w:val="20"/>
          <w:szCs w:val="20"/>
        </w:rPr>
        <w:t xml:space="preserve">, </w:t>
      </w:r>
      <w:r w:rsidRPr="00A6443D">
        <w:rPr>
          <w:rFonts w:ascii="Garamond" w:hAnsi="Garamond"/>
          <w:i/>
          <w:sz w:val="20"/>
          <w:szCs w:val="20"/>
        </w:rPr>
        <w:t xml:space="preserve">Metodologia Jurídica…, </w:t>
      </w:r>
      <w:r w:rsidRPr="00A6443D">
        <w:rPr>
          <w:rFonts w:ascii="Garamond" w:hAnsi="Garamond"/>
          <w:sz w:val="20"/>
          <w:szCs w:val="20"/>
        </w:rPr>
        <w:t xml:space="preserve">p. 265. </w:t>
      </w:r>
    </w:p>
  </w:footnote>
  <w:footnote w:id="18">
    <w:p w:rsidR="00955249" w:rsidRPr="00A6443D" w:rsidRDefault="00955249" w:rsidP="00955249">
      <w:pPr>
        <w:pStyle w:val="Textodenotaderodap"/>
        <w:jc w:val="both"/>
        <w:rPr>
          <w:rFonts w:ascii="Garamond" w:hAnsi="Garamond"/>
        </w:rPr>
      </w:pPr>
      <w:r w:rsidRPr="00A6443D">
        <w:rPr>
          <w:rStyle w:val="Refdenotaderodap"/>
          <w:rFonts w:ascii="Garamond" w:hAnsi="Garamond"/>
        </w:rPr>
        <w:footnoteRef/>
      </w:r>
      <w:r w:rsidRPr="00A6443D">
        <w:rPr>
          <w:rFonts w:ascii="Garamond" w:hAnsi="Garamond"/>
        </w:rPr>
        <w:t xml:space="preserve"> </w:t>
      </w:r>
      <w:r w:rsidRPr="00A6443D">
        <w:rPr>
          <w:rFonts w:ascii="Garamond" w:hAnsi="Garamond"/>
          <w:i/>
        </w:rPr>
        <w:t>Vide</w:t>
      </w:r>
      <w:r w:rsidRPr="00A6443D">
        <w:rPr>
          <w:rFonts w:ascii="Garamond" w:hAnsi="Garamond"/>
        </w:rPr>
        <w:t xml:space="preserve"> </w:t>
      </w:r>
      <w:r w:rsidRPr="00A6443D">
        <w:rPr>
          <w:rFonts w:ascii="Garamond" w:hAnsi="Garamond"/>
          <w:color w:val="000000"/>
        </w:rPr>
        <w:t xml:space="preserve">KARL LARENZ, </w:t>
      </w:r>
      <w:r w:rsidRPr="00A6443D">
        <w:rPr>
          <w:rFonts w:ascii="Garamond" w:hAnsi="Garamond"/>
          <w:i/>
          <w:color w:val="000000"/>
        </w:rPr>
        <w:t>Metodologia da Ciência...</w:t>
      </w:r>
      <w:r w:rsidRPr="00A6443D">
        <w:rPr>
          <w:rFonts w:ascii="Garamond" w:hAnsi="Garamond"/>
          <w:color w:val="000000"/>
        </w:rPr>
        <w:t xml:space="preserve">, </w:t>
      </w:r>
      <w:r w:rsidRPr="00A6443D">
        <w:rPr>
          <w:rFonts w:ascii="Garamond" w:hAnsi="Garamond"/>
        </w:rPr>
        <w:t>p. 554.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3546"/>
    <w:multiLevelType w:val="hybridMultilevel"/>
    <w:tmpl w:val="8EE0CC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49"/>
    <w:rsid w:val="001D43DB"/>
    <w:rsid w:val="00250963"/>
    <w:rsid w:val="003C2E12"/>
    <w:rsid w:val="00535474"/>
    <w:rsid w:val="005611D2"/>
    <w:rsid w:val="007641C7"/>
    <w:rsid w:val="00955249"/>
    <w:rsid w:val="009C6240"/>
    <w:rsid w:val="00AB737B"/>
    <w:rsid w:val="00B52078"/>
    <w:rsid w:val="00BB2B5B"/>
    <w:rsid w:val="00BB453B"/>
    <w:rsid w:val="00BF5B37"/>
    <w:rsid w:val="00CC2A68"/>
    <w:rsid w:val="00FC6A1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49"/>
    <w:rPr>
      <w:rFonts w:ascii="Calibri" w:hAnsi="Calibri" w:cs="Times New Roman"/>
    </w:rPr>
  </w:style>
  <w:style w:type="paragraph" w:styleId="Cabealho5">
    <w:name w:val="heading 5"/>
    <w:basedOn w:val="Normal"/>
    <w:next w:val="Normal"/>
    <w:link w:val="Cabealho5Carcter"/>
    <w:uiPriority w:val="9"/>
    <w:unhideWhenUsed/>
    <w:qFormat/>
    <w:rsid w:val="00955249"/>
    <w:pPr>
      <w:keepNext/>
      <w:keepLines/>
      <w:spacing w:before="200" w:after="0"/>
      <w:outlineLvl w:val="4"/>
    </w:pPr>
    <w:rPr>
      <w:rFonts w:ascii="Cambria" w:eastAsia="Times New Roman" w:hAnsi="Cambria"/>
      <w:color w:val="243F6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53B"/>
    <w:pPr>
      <w:ind w:left="720"/>
      <w:contextualSpacing/>
    </w:pPr>
  </w:style>
  <w:style w:type="paragraph" w:styleId="Textodenotaderodap">
    <w:name w:val="footnote text"/>
    <w:basedOn w:val="Normal"/>
    <w:link w:val="TextodenotaderodapCarcter"/>
    <w:unhideWhenUsed/>
    <w:rsid w:val="0095524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955249"/>
    <w:rPr>
      <w:rFonts w:ascii="Calibri" w:hAnsi="Calibri" w:cs="Times New Roman"/>
      <w:sz w:val="20"/>
      <w:szCs w:val="20"/>
    </w:rPr>
  </w:style>
  <w:style w:type="character" w:styleId="Refdenotaderodap">
    <w:name w:val="footnote reference"/>
    <w:basedOn w:val="Tipodeletrapredefinidodopargrafo"/>
    <w:uiPriority w:val="99"/>
    <w:semiHidden/>
    <w:unhideWhenUsed/>
    <w:rsid w:val="00955249"/>
    <w:rPr>
      <w:vertAlign w:val="superscript"/>
    </w:rPr>
  </w:style>
  <w:style w:type="character" w:styleId="Refdecomentrio">
    <w:name w:val="annotation reference"/>
    <w:basedOn w:val="Tipodeletrapredefinidodopargrafo"/>
    <w:uiPriority w:val="99"/>
    <w:unhideWhenUsed/>
    <w:rsid w:val="00955249"/>
    <w:rPr>
      <w:sz w:val="16"/>
      <w:szCs w:val="16"/>
    </w:rPr>
  </w:style>
  <w:style w:type="paragraph" w:styleId="Textodecomentrio">
    <w:name w:val="annotation text"/>
    <w:basedOn w:val="Normal"/>
    <w:link w:val="TextodecomentrioCarcter"/>
    <w:uiPriority w:val="99"/>
    <w:unhideWhenUsed/>
    <w:rsid w:val="00955249"/>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55249"/>
    <w:rPr>
      <w:rFonts w:ascii="Calibri" w:hAnsi="Calibri" w:cs="Times New Roman"/>
      <w:sz w:val="20"/>
      <w:szCs w:val="20"/>
    </w:rPr>
  </w:style>
  <w:style w:type="paragraph" w:styleId="Textodebalo">
    <w:name w:val="Balloon Text"/>
    <w:basedOn w:val="Normal"/>
    <w:link w:val="TextodebaloCarcter"/>
    <w:uiPriority w:val="99"/>
    <w:semiHidden/>
    <w:unhideWhenUsed/>
    <w:rsid w:val="0095524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55249"/>
    <w:rPr>
      <w:rFonts w:ascii="Tahoma" w:hAnsi="Tahoma" w:cs="Tahoma"/>
      <w:sz w:val="16"/>
      <w:szCs w:val="16"/>
    </w:rPr>
  </w:style>
  <w:style w:type="character" w:customStyle="1" w:styleId="Cabealho5Carcter">
    <w:name w:val="Cabeçalho 5 Carácter"/>
    <w:basedOn w:val="Tipodeletrapredefinidodopargrafo"/>
    <w:link w:val="Cabealho5"/>
    <w:uiPriority w:val="9"/>
    <w:rsid w:val="00955249"/>
    <w:rPr>
      <w:rFonts w:ascii="Cambria" w:eastAsia="Times New Roman" w:hAnsi="Cambria" w:cs="Times New Roman"/>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49"/>
    <w:rPr>
      <w:rFonts w:ascii="Calibri" w:hAnsi="Calibri" w:cs="Times New Roman"/>
    </w:rPr>
  </w:style>
  <w:style w:type="paragraph" w:styleId="Cabealho5">
    <w:name w:val="heading 5"/>
    <w:basedOn w:val="Normal"/>
    <w:next w:val="Normal"/>
    <w:link w:val="Cabealho5Carcter"/>
    <w:uiPriority w:val="9"/>
    <w:unhideWhenUsed/>
    <w:qFormat/>
    <w:rsid w:val="00955249"/>
    <w:pPr>
      <w:keepNext/>
      <w:keepLines/>
      <w:spacing w:before="200" w:after="0"/>
      <w:outlineLvl w:val="4"/>
    </w:pPr>
    <w:rPr>
      <w:rFonts w:ascii="Cambria" w:eastAsia="Times New Roman" w:hAnsi="Cambria"/>
      <w:color w:val="243F6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53B"/>
    <w:pPr>
      <w:ind w:left="720"/>
      <w:contextualSpacing/>
    </w:pPr>
  </w:style>
  <w:style w:type="paragraph" w:styleId="Textodenotaderodap">
    <w:name w:val="footnote text"/>
    <w:basedOn w:val="Normal"/>
    <w:link w:val="TextodenotaderodapCarcter"/>
    <w:unhideWhenUsed/>
    <w:rsid w:val="00955249"/>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rsid w:val="00955249"/>
    <w:rPr>
      <w:rFonts w:ascii="Calibri" w:hAnsi="Calibri" w:cs="Times New Roman"/>
      <w:sz w:val="20"/>
      <w:szCs w:val="20"/>
    </w:rPr>
  </w:style>
  <w:style w:type="character" w:styleId="Refdenotaderodap">
    <w:name w:val="footnote reference"/>
    <w:basedOn w:val="Tipodeletrapredefinidodopargrafo"/>
    <w:uiPriority w:val="99"/>
    <w:semiHidden/>
    <w:unhideWhenUsed/>
    <w:rsid w:val="00955249"/>
    <w:rPr>
      <w:vertAlign w:val="superscript"/>
    </w:rPr>
  </w:style>
  <w:style w:type="character" w:styleId="Refdecomentrio">
    <w:name w:val="annotation reference"/>
    <w:basedOn w:val="Tipodeletrapredefinidodopargrafo"/>
    <w:uiPriority w:val="99"/>
    <w:unhideWhenUsed/>
    <w:rsid w:val="00955249"/>
    <w:rPr>
      <w:sz w:val="16"/>
      <w:szCs w:val="16"/>
    </w:rPr>
  </w:style>
  <w:style w:type="paragraph" w:styleId="Textodecomentrio">
    <w:name w:val="annotation text"/>
    <w:basedOn w:val="Normal"/>
    <w:link w:val="TextodecomentrioCarcter"/>
    <w:uiPriority w:val="99"/>
    <w:unhideWhenUsed/>
    <w:rsid w:val="00955249"/>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55249"/>
    <w:rPr>
      <w:rFonts w:ascii="Calibri" w:hAnsi="Calibri" w:cs="Times New Roman"/>
      <w:sz w:val="20"/>
      <w:szCs w:val="20"/>
    </w:rPr>
  </w:style>
  <w:style w:type="paragraph" w:styleId="Textodebalo">
    <w:name w:val="Balloon Text"/>
    <w:basedOn w:val="Normal"/>
    <w:link w:val="TextodebaloCarcter"/>
    <w:uiPriority w:val="99"/>
    <w:semiHidden/>
    <w:unhideWhenUsed/>
    <w:rsid w:val="0095524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55249"/>
    <w:rPr>
      <w:rFonts w:ascii="Tahoma" w:hAnsi="Tahoma" w:cs="Tahoma"/>
      <w:sz w:val="16"/>
      <w:szCs w:val="16"/>
    </w:rPr>
  </w:style>
  <w:style w:type="character" w:customStyle="1" w:styleId="Cabealho5Carcter">
    <w:name w:val="Cabeçalho 5 Carácter"/>
    <w:basedOn w:val="Tipodeletrapredefinidodopargrafo"/>
    <w:link w:val="Cabealho5"/>
    <w:uiPriority w:val="9"/>
    <w:rsid w:val="00955249"/>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2043</Words>
  <Characters>11035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152831</cp:lastModifiedBy>
  <cp:revision>2</cp:revision>
  <dcterms:created xsi:type="dcterms:W3CDTF">2013-10-11T22:55:00Z</dcterms:created>
  <dcterms:modified xsi:type="dcterms:W3CDTF">2013-10-11T22:55:00Z</dcterms:modified>
</cp:coreProperties>
</file>