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37" w:rsidRPr="00EF362A" w:rsidRDefault="00BA4F37" w:rsidP="00BA4F37">
      <w:pPr>
        <w:spacing w:after="0"/>
        <w:jc w:val="center"/>
        <w:rPr>
          <w:rFonts w:ascii="Bookman Old Style" w:hAnsi="Bookman Old Style"/>
          <w:b/>
          <w:sz w:val="18"/>
          <w:szCs w:val="18"/>
          <w:u w:val="single"/>
        </w:rPr>
      </w:pPr>
      <w:r w:rsidRPr="00EF362A">
        <w:rPr>
          <w:rFonts w:ascii="Bookman Old Style" w:hAnsi="Bookman Old Style"/>
          <w:b/>
          <w:sz w:val="18"/>
          <w:szCs w:val="18"/>
          <w:u w:val="single"/>
        </w:rPr>
        <w:t>Casos Práticos sobre Interpretação da Lei</w:t>
      </w:r>
    </w:p>
    <w:p w:rsidR="00BA4F37" w:rsidRPr="00EF362A" w:rsidRDefault="00BA4F37" w:rsidP="00BA4F37">
      <w:pPr>
        <w:spacing w:after="0"/>
        <w:jc w:val="center"/>
        <w:rPr>
          <w:rFonts w:ascii="Bookman Old Style" w:hAnsi="Bookman Old Style"/>
          <w:b/>
          <w:sz w:val="18"/>
          <w:szCs w:val="18"/>
          <w:u w:val="single"/>
        </w:rPr>
      </w:pPr>
    </w:p>
    <w:p w:rsidR="00BA4F37" w:rsidRPr="00EF362A" w:rsidRDefault="00BA4F37" w:rsidP="00BA4F37">
      <w:pPr>
        <w:spacing w:after="0"/>
        <w:jc w:val="center"/>
        <w:rPr>
          <w:rFonts w:ascii="Bookman Old Style" w:hAnsi="Bookman Old Style"/>
          <w:b/>
          <w:sz w:val="18"/>
          <w:szCs w:val="18"/>
        </w:rPr>
      </w:pPr>
      <w:r w:rsidRPr="00EF362A">
        <w:rPr>
          <w:rFonts w:ascii="Bookman Old Style" w:hAnsi="Bookman Old Style"/>
          <w:b/>
          <w:sz w:val="18"/>
          <w:szCs w:val="18"/>
        </w:rPr>
        <w:t>§ 1</w:t>
      </w:r>
    </w:p>
    <w:p w:rsidR="00B0719F" w:rsidRDefault="00B0719F" w:rsidP="00B0719F">
      <w:pPr>
        <w:spacing w:after="0"/>
        <w:rPr>
          <w:rFonts w:ascii="Bookman Old Style" w:hAnsi="Bookman Old Style"/>
          <w:b/>
          <w:sz w:val="18"/>
          <w:szCs w:val="18"/>
        </w:rPr>
      </w:pPr>
    </w:p>
    <w:p w:rsidR="00B0719F" w:rsidRDefault="00B0719F" w:rsidP="00B0719F">
      <w:pPr>
        <w:spacing w:after="0"/>
        <w:jc w:val="center"/>
        <w:rPr>
          <w:rFonts w:ascii="Bookman Old Style" w:hAnsi="Bookman Old Style"/>
          <w:b/>
          <w:sz w:val="18"/>
          <w:szCs w:val="18"/>
        </w:rPr>
      </w:pPr>
      <w:r>
        <w:rPr>
          <w:rFonts w:ascii="Bookman Old Style" w:hAnsi="Bookman Old Style"/>
          <w:b/>
          <w:sz w:val="18"/>
          <w:szCs w:val="18"/>
        </w:rPr>
        <w:t>I</w:t>
      </w:r>
    </w:p>
    <w:p w:rsidR="00B0719F" w:rsidRDefault="00B0719F" w:rsidP="00B0719F">
      <w:pPr>
        <w:spacing w:after="0" w:line="360" w:lineRule="auto"/>
        <w:jc w:val="both"/>
        <w:rPr>
          <w:rFonts w:ascii="Bookman Old Style" w:hAnsi="Bookman Old Style"/>
          <w:sz w:val="18"/>
          <w:szCs w:val="18"/>
        </w:rPr>
      </w:pPr>
    </w:p>
    <w:p w:rsidR="00B0719F" w:rsidRDefault="00B0719F" w:rsidP="00B0719F">
      <w:pPr>
        <w:spacing w:after="0" w:line="360" w:lineRule="auto"/>
        <w:jc w:val="both"/>
        <w:rPr>
          <w:rFonts w:ascii="Bookman Old Style" w:hAnsi="Bookman Old Style"/>
          <w:sz w:val="18"/>
          <w:szCs w:val="18"/>
        </w:rPr>
      </w:pPr>
      <w:r>
        <w:rPr>
          <w:rFonts w:ascii="Bookman Old Style" w:hAnsi="Bookman Old Style"/>
          <w:sz w:val="18"/>
          <w:szCs w:val="18"/>
        </w:rPr>
        <w:tab/>
        <w:t xml:space="preserve">Suponha que, em virtude de um golpe de Estado, toma o poder em Portugal um partido nacionalista, racista e xenófobo, que, apesar de inúmeras alterações legislativas, mantém em vigor o atual Código Civil. </w:t>
      </w:r>
    </w:p>
    <w:p w:rsidR="00B06F18" w:rsidRDefault="00B0719F" w:rsidP="00B0719F">
      <w:pPr>
        <w:spacing w:after="0" w:line="360" w:lineRule="auto"/>
        <w:jc w:val="both"/>
        <w:rPr>
          <w:rFonts w:ascii="Bookman Old Style" w:hAnsi="Bookman Old Style"/>
          <w:sz w:val="18"/>
          <w:szCs w:val="18"/>
        </w:rPr>
      </w:pPr>
      <w:r>
        <w:rPr>
          <w:rFonts w:ascii="Bookman Old Style" w:hAnsi="Bookman Old Style"/>
          <w:sz w:val="18"/>
          <w:szCs w:val="18"/>
        </w:rPr>
        <w:tab/>
        <w:t xml:space="preserve">Logo no início do seu “consolado” aprova a Lei n.º 1/2012, nos termos da qual: </w:t>
      </w:r>
      <w:r w:rsidRPr="000A007D">
        <w:rPr>
          <w:rFonts w:ascii="Bookman Old Style" w:hAnsi="Bookman Old Style"/>
          <w:i/>
          <w:sz w:val="18"/>
          <w:szCs w:val="18"/>
        </w:rPr>
        <w:t>“</w:t>
      </w:r>
      <w:proofErr w:type="gramStart"/>
      <w:r w:rsidRPr="000A007D">
        <w:rPr>
          <w:rFonts w:ascii="Bookman Old Style" w:hAnsi="Bookman Old Style"/>
          <w:i/>
          <w:sz w:val="18"/>
          <w:szCs w:val="18"/>
        </w:rPr>
        <w:t>(artigo</w:t>
      </w:r>
      <w:proofErr w:type="gramEnd"/>
      <w:r w:rsidRPr="000A007D">
        <w:rPr>
          <w:rFonts w:ascii="Bookman Old Style" w:hAnsi="Bookman Old Style"/>
          <w:i/>
          <w:sz w:val="18"/>
          <w:szCs w:val="18"/>
        </w:rPr>
        <w:t xml:space="preserve"> único) 1- O Estado fornece gratuitamente protetores solares. 2 – O disposto no número anterior só se aplica a portugueses</w:t>
      </w:r>
      <w:r>
        <w:rPr>
          <w:rFonts w:ascii="Bookman Old Style" w:hAnsi="Bookman Old Style"/>
          <w:sz w:val="18"/>
          <w:szCs w:val="18"/>
        </w:rPr>
        <w:t xml:space="preserve">”. Esta lei insere-se num conjunto de outras medidas </w:t>
      </w:r>
      <w:r w:rsidR="00B06F18">
        <w:rPr>
          <w:rFonts w:ascii="Bookman Old Style" w:hAnsi="Bookman Old Style"/>
          <w:sz w:val="18"/>
          <w:szCs w:val="18"/>
        </w:rPr>
        <w:t>legislativas pautadas claramente por um carácter nacionalista, racista e discriminatório.</w:t>
      </w:r>
      <w:r w:rsidR="00B06F18" w:rsidRPr="00B06F18">
        <w:rPr>
          <w:rFonts w:ascii="Bookman Old Style" w:hAnsi="Bookman Old Style"/>
          <w:sz w:val="18"/>
          <w:szCs w:val="18"/>
        </w:rPr>
        <w:t xml:space="preserve"> </w:t>
      </w:r>
    </w:p>
    <w:p w:rsidR="00B0719F" w:rsidRDefault="00B06F18" w:rsidP="00B06F18">
      <w:pPr>
        <w:spacing w:after="0" w:line="360" w:lineRule="auto"/>
        <w:ind w:firstLine="708"/>
        <w:jc w:val="both"/>
        <w:rPr>
          <w:rFonts w:ascii="Bookman Old Style" w:hAnsi="Bookman Old Style"/>
          <w:sz w:val="18"/>
          <w:szCs w:val="18"/>
        </w:rPr>
      </w:pPr>
      <w:r>
        <w:rPr>
          <w:rFonts w:ascii="Bookman Old Style" w:hAnsi="Bookman Old Style"/>
          <w:sz w:val="18"/>
          <w:szCs w:val="18"/>
        </w:rPr>
        <w:t>É publicamente conhecido que a “intenção” do Governo era beneficiar apenas “portugueses europeus”.</w:t>
      </w:r>
    </w:p>
    <w:p w:rsidR="00B06F18" w:rsidRDefault="00B06F18" w:rsidP="00B0719F">
      <w:pPr>
        <w:spacing w:after="0" w:line="360" w:lineRule="auto"/>
        <w:jc w:val="both"/>
        <w:rPr>
          <w:rFonts w:ascii="Bookman Old Style" w:hAnsi="Bookman Old Style"/>
          <w:sz w:val="18"/>
          <w:szCs w:val="18"/>
        </w:rPr>
      </w:pPr>
      <w:r>
        <w:rPr>
          <w:rFonts w:ascii="Bookman Old Style" w:hAnsi="Bookman Old Style"/>
          <w:sz w:val="18"/>
          <w:szCs w:val="18"/>
        </w:rPr>
        <w:tab/>
      </w:r>
      <w:proofErr w:type="spellStart"/>
      <w:r>
        <w:rPr>
          <w:rFonts w:ascii="Bookman Old Style" w:hAnsi="Bookman Old Style"/>
          <w:sz w:val="18"/>
          <w:szCs w:val="18"/>
        </w:rPr>
        <w:t>Abdulahh</w:t>
      </w:r>
      <w:proofErr w:type="spellEnd"/>
      <w:r>
        <w:rPr>
          <w:rFonts w:ascii="Bookman Old Style" w:hAnsi="Bookman Old Style"/>
          <w:sz w:val="18"/>
          <w:szCs w:val="18"/>
        </w:rPr>
        <w:t xml:space="preserve">, filho de pais marroquinos a residir em Portugal, nasceu em Portugal, sendo, portanto, cidadão português de origem. As suas características físicas não correspondem, no entanto, às de um “português europeu”. Terá direito, nos termos da Lei n.º 1/2012, aos protetores solares gratuitos? </w:t>
      </w:r>
    </w:p>
    <w:p w:rsidR="00B0719F" w:rsidRPr="00B0719F" w:rsidRDefault="00B0719F" w:rsidP="00B0719F">
      <w:pPr>
        <w:spacing w:after="0" w:line="360" w:lineRule="auto"/>
        <w:jc w:val="both"/>
        <w:rPr>
          <w:rFonts w:ascii="Bookman Old Style" w:hAnsi="Bookman Old Style"/>
          <w:sz w:val="18"/>
          <w:szCs w:val="18"/>
        </w:rPr>
      </w:pPr>
    </w:p>
    <w:p w:rsidR="00BA4F37" w:rsidRPr="00EF362A" w:rsidRDefault="00BA4F37" w:rsidP="00BA4F37">
      <w:pPr>
        <w:spacing w:after="0"/>
        <w:jc w:val="center"/>
        <w:rPr>
          <w:rFonts w:ascii="Bookman Old Style" w:hAnsi="Bookman Old Style"/>
          <w:b/>
          <w:sz w:val="18"/>
          <w:szCs w:val="18"/>
        </w:rPr>
      </w:pPr>
      <w:r w:rsidRPr="00EF362A">
        <w:rPr>
          <w:rFonts w:ascii="Bookman Old Style" w:hAnsi="Bookman Old Style"/>
          <w:b/>
          <w:sz w:val="18"/>
          <w:szCs w:val="18"/>
        </w:rPr>
        <w:t>I</w:t>
      </w:r>
      <w:r w:rsidR="008D0867">
        <w:rPr>
          <w:rFonts w:ascii="Bookman Old Style" w:hAnsi="Bookman Old Style"/>
          <w:b/>
          <w:sz w:val="18"/>
          <w:szCs w:val="18"/>
        </w:rPr>
        <w:t>I</w:t>
      </w:r>
    </w:p>
    <w:p w:rsidR="00BA4F37" w:rsidRPr="00EF362A" w:rsidRDefault="00BA4F37" w:rsidP="00BA4F37">
      <w:pPr>
        <w:spacing w:after="0" w:line="360" w:lineRule="auto"/>
        <w:jc w:val="both"/>
        <w:rPr>
          <w:rFonts w:ascii="Bookman Old Style" w:hAnsi="Bookman Old Style"/>
          <w:sz w:val="18"/>
          <w:szCs w:val="18"/>
        </w:rPr>
      </w:pPr>
      <w:r w:rsidRPr="00EF362A">
        <w:rPr>
          <w:rFonts w:ascii="Bookman Old Style" w:hAnsi="Bookman Old Style"/>
          <w:sz w:val="18"/>
          <w:szCs w:val="18"/>
        </w:rPr>
        <w:tab/>
        <w:t>Identifique os elementos de interpretação presentes em cada uma das seguintes situações:</w:t>
      </w:r>
    </w:p>
    <w:p w:rsidR="00BA4F37" w:rsidRPr="00EF362A" w:rsidRDefault="00BA4F37" w:rsidP="00BA4F37">
      <w:pPr>
        <w:spacing w:after="0" w:line="360" w:lineRule="auto"/>
        <w:jc w:val="both"/>
        <w:rPr>
          <w:rFonts w:ascii="Bookman Old Style" w:hAnsi="Bookman Old Style"/>
          <w:sz w:val="18"/>
          <w:szCs w:val="18"/>
        </w:rPr>
      </w:pPr>
    </w:p>
    <w:p w:rsidR="00BA4F37" w:rsidRPr="00EF362A" w:rsidRDefault="00AF28DF" w:rsidP="001E3570">
      <w:pPr>
        <w:pStyle w:val="PargrafodaLista"/>
        <w:numPr>
          <w:ilvl w:val="0"/>
          <w:numId w:val="2"/>
        </w:numPr>
        <w:spacing w:after="0" w:line="360" w:lineRule="auto"/>
        <w:jc w:val="both"/>
        <w:rPr>
          <w:rFonts w:ascii="Bookman Old Style" w:hAnsi="Bookman Old Style"/>
          <w:sz w:val="18"/>
          <w:szCs w:val="18"/>
        </w:rPr>
      </w:pPr>
      <w:r>
        <w:rPr>
          <w:rFonts w:ascii="Bookman Old Style" w:hAnsi="Bookman Old Style"/>
          <w:sz w:val="18"/>
          <w:szCs w:val="18"/>
        </w:rPr>
        <w:t>Para apurar</w:t>
      </w:r>
      <w:r w:rsidR="001E3570" w:rsidRPr="00EF362A">
        <w:rPr>
          <w:rFonts w:ascii="Bookman Old Style" w:hAnsi="Bookman Old Style"/>
          <w:sz w:val="18"/>
          <w:szCs w:val="18"/>
        </w:rPr>
        <w:t xml:space="preserve"> o sentido a atribuir ao artigo Y do Código Civil, socorro-mo do disposto no § x do BGB, que o inspirou e regula matéria análoga;</w:t>
      </w:r>
    </w:p>
    <w:p w:rsidR="001E3570" w:rsidRPr="00EF362A" w:rsidRDefault="001E3570" w:rsidP="001E3570">
      <w:pPr>
        <w:pStyle w:val="PargrafodaLista"/>
        <w:numPr>
          <w:ilvl w:val="0"/>
          <w:numId w:val="2"/>
        </w:numPr>
        <w:spacing w:after="0" w:line="360" w:lineRule="auto"/>
        <w:jc w:val="both"/>
        <w:rPr>
          <w:rFonts w:ascii="Bookman Old Style" w:hAnsi="Bookman Old Style"/>
          <w:sz w:val="18"/>
          <w:szCs w:val="18"/>
        </w:rPr>
      </w:pPr>
      <w:r w:rsidRPr="00EF362A">
        <w:rPr>
          <w:rFonts w:ascii="Bookman Old Style" w:hAnsi="Bookman Old Style"/>
          <w:sz w:val="18"/>
          <w:szCs w:val="18"/>
        </w:rPr>
        <w:t>O artigo X da nova lei de responsabilidade civil do produtor é equívoco; na dúvida, socorro-me do disposto no artigo Y da lei antiga, que o inspirou e é mais claro;</w:t>
      </w:r>
    </w:p>
    <w:p w:rsidR="001E3570" w:rsidRPr="00EF362A" w:rsidRDefault="001C55D4" w:rsidP="001E3570">
      <w:pPr>
        <w:pStyle w:val="PargrafodaLista"/>
        <w:numPr>
          <w:ilvl w:val="0"/>
          <w:numId w:val="2"/>
        </w:numPr>
        <w:spacing w:after="0" w:line="360" w:lineRule="auto"/>
        <w:jc w:val="both"/>
        <w:rPr>
          <w:rFonts w:ascii="Bookman Old Style" w:hAnsi="Bookman Old Style"/>
          <w:sz w:val="18"/>
          <w:szCs w:val="18"/>
        </w:rPr>
      </w:pPr>
      <w:r w:rsidRPr="00EF362A">
        <w:rPr>
          <w:rFonts w:ascii="Bookman Old Style" w:hAnsi="Bookman Old Style"/>
          <w:sz w:val="18"/>
          <w:szCs w:val="18"/>
        </w:rPr>
        <w:t xml:space="preserve">Aquando da preparação do CC de 1966, era dominante, na doutrina, a teoria do facto passado. </w:t>
      </w:r>
      <w:r w:rsidR="00AF28DF">
        <w:rPr>
          <w:rFonts w:ascii="Bookman Old Style" w:hAnsi="Bookman Old Style"/>
          <w:sz w:val="18"/>
          <w:szCs w:val="18"/>
        </w:rPr>
        <w:t xml:space="preserve">Para apurar </w:t>
      </w:r>
      <w:r w:rsidRPr="00EF362A">
        <w:rPr>
          <w:rFonts w:ascii="Bookman Old Style" w:hAnsi="Bookman Old Style"/>
          <w:sz w:val="18"/>
          <w:szCs w:val="18"/>
        </w:rPr>
        <w:t>o sentido a dar ao artigo 12.º desse Código, deve</w:t>
      </w:r>
      <w:r w:rsidR="00AF28DF">
        <w:rPr>
          <w:rFonts w:ascii="Bookman Old Style" w:hAnsi="Bookman Old Style"/>
          <w:sz w:val="18"/>
          <w:szCs w:val="18"/>
        </w:rPr>
        <w:t>m</w:t>
      </w:r>
      <w:r w:rsidRPr="00EF362A">
        <w:rPr>
          <w:rFonts w:ascii="Bookman Old Style" w:hAnsi="Bookman Old Style"/>
          <w:sz w:val="18"/>
          <w:szCs w:val="18"/>
        </w:rPr>
        <w:t xml:space="preserve"> procurar</w:t>
      </w:r>
      <w:r w:rsidR="00AF28DF">
        <w:rPr>
          <w:rFonts w:ascii="Bookman Old Style" w:hAnsi="Bookman Old Style"/>
          <w:sz w:val="18"/>
          <w:szCs w:val="18"/>
        </w:rPr>
        <w:t>-se</w:t>
      </w:r>
      <w:r w:rsidRPr="00EF362A">
        <w:rPr>
          <w:rFonts w:ascii="Bookman Old Style" w:hAnsi="Bookman Old Style"/>
          <w:sz w:val="18"/>
          <w:szCs w:val="18"/>
        </w:rPr>
        <w:t xml:space="preserve"> os sentidos que mais se coadunem com os postulados daquela teoria;</w:t>
      </w:r>
    </w:p>
    <w:p w:rsidR="001C55D4" w:rsidRPr="00EF362A" w:rsidRDefault="001C55D4" w:rsidP="001E3570">
      <w:pPr>
        <w:pStyle w:val="PargrafodaLista"/>
        <w:numPr>
          <w:ilvl w:val="0"/>
          <w:numId w:val="2"/>
        </w:numPr>
        <w:spacing w:after="0" w:line="360" w:lineRule="auto"/>
        <w:jc w:val="both"/>
        <w:rPr>
          <w:rFonts w:ascii="Bookman Old Style" w:hAnsi="Bookman Old Style"/>
          <w:sz w:val="18"/>
          <w:szCs w:val="18"/>
        </w:rPr>
      </w:pPr>
      <w:r w:rsidRPr="00EF362A">
        <w:rPr>
          <w:rFonts w:ascii="Bookman Old Style" w:hAnsi="Bookman Old Style"/>
          <w:sz w:val="18"/>
          <w:szCs w:val="18"/>
        </w:rPr>
        <w:t xml:space="preserve">O artigo X da lei Y permite a uma parte que tenha celebrado um contrato com outra, resolvê-lo se se verificar uma alteração imprevisível das circunstâncias em que assentou a vontade de contratar. Sabendo que tal preceito foi criado num contexto </w:t>
      </w:r>
      <w:r w:rsidR="00E020D6" w:rsidRPr="00EF362A">
        <w:rPr>
          <w:rFonts w:ascii="Bookman Old Style" w:hAnsi="Bookman Old Style"/>
          <w:sz w:val="18"/>
          <w:szCs w:val="18"/>
        </w:rPr>
        <w:t xml:space="preserve">absolutamente </w:t>
      </w:r>
      <w:r w:rsidRPr="00EF362A">
        <w:rPr>
          <w:rFonts w:ascii="Bookman Old Style" w:hAnsi="Bookman Old Style"/>
          <w:sz w:val="18"/>
          <w:szCs w:val="18"/>
        </w:rPr>
        <w:t>excecional, de inflação descontrolada no país</w:t>
      </w:r>
      <w:r w:rsidR="00E020D6" w:rsidRPr="00EF362A">
        <w:rPr>
          <w:rFonts w:ascii="Bookman Old Style" w:hAnsi="Bookman Old Style"/>
          <w:sz w:val="18"/>
          <w:szCs w:val="18"/>
        </w:rPr>
        <w:t xml:space="preserve"> </w:t>
      </w:r>
      <w:proofErr w:type="gramStart"/>
      <w:r w:rsidR="00E020D6" w:rsidRPr="00EF362A">
        <w:rPr>
          <w:rFonts w:ascii="Bookman Old Style" w:hAnsi="Bookman Old Style"/>
          <w:sz w:val="18"/>
          <w:szCs w:val="18"/>
        </w:rPr>
        <w:t>e</w:t>
      </w:r>
      <w:proofErr w:type="gramEnd"/>
      <w:r w:rsidR="00E020D6" w:rsidRPr="00EF362A">
        <w:rPr>
          <w:rFonts w:ascii="Bookman Old Style" w:hAnsi="Bookman Old Style"/>
          <w:sz w:val="18"/>
          <w:szCs w:val="18"/>
        </w:rPr>
        <w:t xml:space="preserve"> </w:t>
      </w:r>
      <w:r w:rsidR="00E020D6" w:rsidRPr="00EF362A">
        <w:rPr>
          <w:rFonts w:ascii="Bookman Old Style" w:hAnsi="Bookman Old Style"/>
          <w:sz w:val="18"/>
          <w:szCs w:val="18"/>
        </w:rPr>
        <w:br/>
      </w:r>
      <w:proofErr w:type="gramStart"/>
      <w:r w:rsidR="00E020D6" w:rsidRPr="00EF362A">
        <w:rPr>
          <w:rFonts w:ascii="Bookman Old Style" w:hAnsi="Bookman Old Style"/>
          <w:sz w:val="18"/>
          <w:szCs w:val="18"/>
        </w:rPr>
        <w:t>pós-guerra</w:t>
      </w:r>
      <w:proofErr w:type="gramEnd"/>
      <w:r w:rsidRPr="00EF362A">
        <w:rPr>
          <w:rFonts w:ascii="Bookman Old Style" w:hAnsi="Bookman Old Style"/>
          <w:sz w:val="18"/>
          <w:szCs w:val="18"/>
        </w:rPr>
        <w:t xml:space="preserve">, </w:t>
      </w:r>
      <w:r w:rsidR="00AF28DF">
        <w:rPr>
          <w:rFonts w:ascii="Bookman Old Style" w:hAnsi="Bookman Old Style"/>
          <w:sz w:val="18"/>
          <w:szCs w:val="18"/>
        </w:rPr>
        <w:t>para apurar</w:t>
      </w:r>
      <w:r w:rsidRPr="00EF362A">
        <w:rPr>
          <w:rFonts w:ascii="Bookman Old Style" w:hAnsi="Bookman Old Style"/>
          <w:sz w:val="18"/>
          <w:szCs w:val="18"/>
        </w:rPr>
        <w:t xml:space="preserve"> o seu sentido, posso considerar que visa situações muito residuais, e que escapem ao controlo das partes;</w:t>
      </w:r>
    </w:p>
    <w:p w:rsidR="001C55D4" w:rsidRPr="00EF362A" w:rsidRDefault="00E020D6" w:rsidP="001E3570">
      <w:pPr>
        <w:pStyle w:val="PargrafodaLista"/>
        <w:numPr>
          <w:ilvl w:val="0"/>
          <w:numId w:val="2"/>
        </w:numPr>
        <w:spacing w:after="0" w:line="360" w:lineRule="auto"/>
        <w:jc w:val="both"/>
        <w:rPr>
          <w:rFonts w:ascii="Bookman Old Style" w:hAnsi="Bookman Old Style"/>
          <w:sz w:val="18"/>
          <w:szCs w:val="18"/>
        </w:rPr>
      </w:pPr>
      <w:r w:rsidRPr="00EF362A">
        <w:rPr>
          <w:rFonts w:ascii="Bookman Old Style" w:hAnsi="Bookman Old Style"/>
          <w:sz w:val="18"/>
          <w:szCs w:val="18"/>
        </w:rPr>
        <w:t>De acordo com o anteprojeto do artigo 11.º do CC “</w:t>
      </w:r>
      <w:r w:rsidRPr="00EF362A">
        <w:rPr>
          <w:rFonts w:ascii="Bookman Old Style" w:hAnsi="Bookman Old Style"/>
          <w:i/>
          <w:sz w:val="18"/>
          <w:szCs w:val="18"/>
        </w:rPr>
        <w:t>As normas excecionais podem ser interpretadas extensivamente, mas não comportam aplicação analógica se as normas gerais correlativas contiverem princípios essenciais de ordem pública</w:t>
      </w:r>
      <w:r w:rsidRPr="00EF362A">
        <w:rPr>
          <w:rFonts w:ascii="Bookman Old Style" w:hAnsi="Bookman Old Style"/>
          <w:sz w:val="18"/>
          <w:szCs w:val="18"/>
        </w:rPr>
        <w:t xml:space="preserve">”. O </w:t>
      </w:r>
      <w:proofErr w:type="gramStart"/>
      <w:r w:rsidRPr="00EF362A">
        <w:rPr>
          <w:rFonts w:ascii="Bookman Old Style" w:hAnsi="Bookman Old Style"/>
          <w:sz w:val="18"/>
          <w:szCs w:val="18"/>
        </w:rPr>
        <w:t xml:space="preserve">trecho  </w:t>
      </w:r>
      <w:proofErr w:type="gramEnd"/>
      <w:r w:rsidRPr="00EF362A">
        <w:rPr>
          <w:rFonts w:ascii="Bookman Old Style" w:hAnsi="Bookman Old Style"/>
          <w:sz w:val="18"/>
          <w:szCs w:val="18"/>
        </w:rPr>
        <w:t xml:space="preserve">“se as normas gerais correlativas (…)” foi eliminado nas revisões ministeriais. Não posso, pois, interpretar o atual artigo 11.º como </w:t>
      </w:r>
      <w:r w:rsidR="008D0867">
        <w:rPr>
          <w:rFonts w:ascii="Bookman Old Style" w:hAnsi="Bookman Old Style"/>
          <w:sz w:val="18"/>
          <w:szCs w:val="18"/>
        </w:rPr>
        <w:t>vedando</w:t>
      </w:r>
      <w:r w:rsidRPr="00EF362A">
        <w:rPr>
          <w:rFonts w:ascii="Bookman Old Style" w:hAnsi="Bookman Old Style"/>
          <w:sz w:val="18"/>
          <w:szCs w:val="18"/>
        </w:rPr>
        <w:t xml:space="preserve"> apenas a aplicação analógica de regras excecionais que colidam com princípios do sistema;</w:t>
      </w:r>
    </w:p>
    <w:p w:rsidR="00EF362A" w:rsidRDefault="00EF362A" w:rsidP="001E3570">
      <w:pPr>
        <w:pStyle w:val="PargrafodaLista"/>
        <w:numPr>
          <w:ilvl w:val="0"/>
          <w:numId w:val="2"/>
        </w:numPr>
        <w:spacing w:after="0" w:line="360" w:lineRule="auto"/>
        <w:jc w:val="both"/>
        <w:rPr>
          <w:rFonts w:ascii="Bookman Old Style" w:hAnsi="Bookman Old Style"/>
          <w:sz w:val="18"/>
          <w:szCs w:val="18"/>
        </w:rPr>
      </w:pPr>
      <w:r>
        <w:rPr>
          <w:rFonts w:ascii="Bookman Old Style" w:hAnsi="Bookman Old Style"/>
          <w:sz w:val="18"/>
          <w:szCs w:val="18"/>
        </w:rPr>
        <w:lastRenderedPageBreak/>
        <w:t xml:space="preserve">Quanto a uma lei que preveja um subsídio apenas para doentes do sexo masculino, interpretando-a à face do artigo </w:t>
      </w:r>
      <w:proofErr w:type="gramStart"/>
      <w:r>
        <w:rPr>
          <w:rFonts w:ascii="Bookman Old Style" w:hAnsi="Bookman Old Style"/>
          <w:sz w:val="18"/>
          <w:szCs w:val="18"/>
        </w:rPr>
        <w:t>13.º</w:t>
      </w:r>
      <w:proofErr w:type="gramEnd"/>
      <w:r>
        <w:rPr>
          <w:rFonts w:ascii="Bookman Old Style" w:hAnsi="Bookman Old Style"/>
          <w:sz w:val="18"/>
          <w:szCs w:val="18"/>
        </w:rPr>
        <w:t xml:space="preserve"> </w:t>
      </w:r>
      <w:proofErr w:type="gramStart"/>
      <w:r>
        <w:rPr>
          <w:rFonts w:ascii="Bookman Old Style" w:hAnsi="Bookman Old Style"/>
          <w:sz w:val="18"/>
          <w:szCs w:val="18"/>
        </w:rPr>
        <w:t>CRP</w:t>
      </w:r>
      <w:proofErr w:type="gramEnd"/>
      <w:r>
        <w:rPr>
          <w:rFonts w:ascii="Bookman Old Style" w:hAnsi="Bookman Old Style"/>
          <w:sz w:val="18"/>
          <w:szCs w:val="18"/>
        </w:rPr>
        <w:t>, devo entender que também abrange doentes do sexo feminino;</w:t>
      </w:r>
    </w:p>
    <w:p w:rsidR="00EF362A" w:rsidRDefault="00EF362A" w:rsidP="001E3570">
      <w:pPr>
        <w:pStyle w:val="PargrafodaLista"/>
        <w:numPr>
          <w:ilvl w:val="0"/>
          <w:numId w:val="2"/>
        </w:numPr>
        <w:spacing w:after="0" w:line="360" w:lineRule="auto"/>
        <w:jc w:val="both"/>
        <w:rPr>
          <w:rFonts w:ascii="Bookman Old Style" w:hAnsi="Bookman Old Style"/>
          <w:sz w:val="18"/>
          <w:szCs w:val="18"/>
        </w:rPr>
      </w:pPr>
      <w:r>
        <w:rPr>
          <w:rFonts w:ascii="Bookman Old Style" w:hAnsi="Bookman Old Style"/>
          <w:sz w:val="18"/>
          <w:szCs w:val="18"/>
        </w:rPr>
        <w:t>Se o objectivo da Lei X/2010 é proibir que os visitantes do ZOO interfiram com a dieta dos animais, a expressão é “proibido lançar comida” deve entender-se que abrange comida e bebidas;</w:t>
      </w:r>
    </w:p>
    <w:p w:rsidR="00E020D6" w:rsidRDefault="00487DE0" w:rsidP="00EF362A">
      <w:pPr>
        <w:pStyle w:val="PargrafodaLista"/>
        <w:numPr>
          <w:ilvl w:val="0"/>
          <w:numId w:val="2"/>
        </w:numPr>
        <w:spacing w:after="0" w:line="360" w:lineRule="auto"/>
        <w:jc w:val="both"/>
        <w:rPr>
          <w:rFonts w:ascii="Bookman Old Style" w:hAnsi="Bookman Old Style"/>
          <w:sz w:val="18"/>
          <w:szCs w:val="18"/>
        </w:rPr>
      </w:pPr>
      <w:r>
        <w:rPr>
          <w:rFonts w:ascii="Bookman Old Style" w:hAnsi="Bookman Old Style"/>
          <w:sz w:val="18"/>
          <w:szCs w:val="18"/>
        </w:rPr>
        <w:t>Na dúvida sobre se o incumprimento do contrato de compra e venda confere ou não direito a uma indemnização pelo interesse contratual positivo, posso socorrer-me da disposição X da Lei que regula o contrato de permuta, onde essa indemnização é expressamente reconhecida;</w:t>
      </w:r>
    </w:p>
    <w:p w:rsidR="000A007D" w:rsidRPr="00AF28DF" w:rsidRDefault="000A007D" w:rsidP="00AF28DF">
      <w:pPr>
        <w:pStyle w:val="PargrafodaLista"/>
        <w:numPr>
          <w:ilvl w:val="0"/>
          <w:numId w:val="2"/>
        </w:numPr>
        <w:spacing w:after="0" w:line="360" w:lineRule="auto"/>
        <w:jc w:val="both"/>
        <w:rPr>
          <w:rFonts w:ascii="Bookman Old Style" w:hAnsi="Bookman Old Style"/>
          <w:sz w:val="18"/>
          <w:szCs w:val="18"/>
        </w:rPr>
      </w:pPr>
      <w:r>
        <w:rPr>
          <w:rFonts w:ascii="Bookman Old Style" w:hAnsi="Bookman Old Style"/>
          <w:sz w:val="18"/>
          <w:szCs w:val="18"/>
        </w:rPr>
        <w:t xml:space="preserve">O artigo X do Código do Trabalho determina que no procedimento tendente à aplicação ao trabalhador da sanção disciplinar de despedimento com justa causa, este deve ser ouvido antes </w:t>
      </w:r>
      <w:r w:rsidR="00AF28DF">
        <w:rPr>
          <w:rFonts w:ascii="Bookman Old Style" w:hAnsi="Bookman Old Style"/>
          <w:sz w:val="18"/>
          <w:szCs w:val="18"/>
        </w:rPr>
        <w:t>da decisão. Apesar do artigo y (</w:t>
      </w:r>
      <w:r w:rsidRPr="00AF28DF">
        <w:rPr>
          <w:rFonts w:ascii="Bookman Old Style" w:hAnsi="Bookman Old Style"/>
          <w:sz w:val="18"/>
          <w:szCs w:val="18"/>
        </w:rPr>
        <w:t>que se reporta ao mesmo procedimento, mas na hipótese de a sanção a prever ser a perda de dias de férias</w:t>
      </w:r>
      <w:r w:rsidR="00AF28DF">
        <w:rPr>
          <w:rFonts w:ascii="Bookman Old Style" w:hAnsi="Bookman Old Style"/>
          <w:sz w:val="18"/>
          <w:szCs w:val="18"/>
        </w:rPr>
        <w:t>)</w:t>
      </w:r>
      <w:r w:rsidRPr="00AF28DF">
        <w:rPr>
          <w:rFonts w:ascii="Bookman Old Style" w:hAnsi="Bookman Old Style"/>
          <w:sz w:val="18"/>
          <w:szCs w:val="18"/>
        </w:rPr>
        <w:t xml:space="preserve"> nada referir, deve entender-se que o trabalhador também tem que ser ouvido antes da decisão. </w:t>
      </w:r>
    </w:p>
    <w:p w:rsidR="008D0867" w:rsidRPr="00110446" w:rsidRDefault="008D0867" w:rsidP="008D0867">
      <w:pPr>
        <w:spacing w:after="0" w:line="360" w:lineRule="auto"/>
        <w:ind w:left="705"/>
        <w:jc w:val="center"/>
        <w:rPr>
          <w:rFonts w:ascii="Bookman Old Style" w:hAnsi="Bookman Old Style"/>
          <w:sz w:val="18"/>
          <w:szCs w:val="18"/>
        </w:rPr>
      </w:pPr>
    </w:p>
    <w:p w:rsidR="008D0867" w:rsidRPr="00A302A5" w:rsidRDefault="008D0867" w:rsidP="008D0867">
      <w:pPr>
        <w:spacing w:after="0" w:line="360" w:lineRule="auto"/>
        <w:ind w:left="705"/>
        <w:jc w:val="center"/>
        <w:rPr>
          <w:rFonts w:ascii="Bookman Old Style" w:hAnsi="Bookman Old Style"/>
          <w:b/>
          <w:sz w:val="18"/>
          <w:szCs w:val="18"/>
        </w:rPr>
      </w:pPr>
      <w:r w:rsidRPr="00A302A5">
        <w:rPr>
          <w:rFonts w:ascii="Bookman Old Style" w:hAnsi="Bookman Old Style"/>
          <w:b/>
          <w:sz w:val="18"/>
          <w:szCs w:val="18"/>
        </w:rPr>
        <w:t>III</w:t>
      </w:r>
    </w:p>
    <w:p w:rsidR="00110446" w:rsidRDefault="00110446" w:rsidP="00110446">
      <w:pPr>
        <w:spacing w:after="0" w:line="360" w:lineRule="auto"/>
        <w:jc w:val="both"/>
        <w:rPr>
          <w:rFonts w:ascii="Bookman Old Style" w:hAnsi="Bookman Old Style"/>
          <w:sz w:val="18"/>
          <w:szCs w:val="18"/>
        </w:rPr>
      </w:pPr>
      <w:r w:rsidRPr="00110446">
        <w:rPr>
          <w:rFonts w:ascii="Bookman Old Style" w:hAnsi="Bookman Old Style"/>
          <w:sz w:val="18"/>
          <w:szCs w:val="18"/>
        </w:rPr>
        <w:t>Apreci</w:t>
      </w:r>
      <w:r>
        <w:rPr>
          <w:rFonts w:ascii="Bookman Old Style" w:hAnsi="Bookman Old Style"/>
          <w:sz w:val="18"/>
          <w:szCs w:val="18"/>
        </w:rPr>
        <w:t>e as seguintes situações, apenas tendo em conta a matéria da interpretação da Lei.</w:t>
      </w:r>
    </w:p>
    <w:p w:rsidR="00110446" w:rsidRDefault="00110446" w:rsidP="00110446">
      <w:pPr>
        <w:spacing w:after="0" w:line="360" w:lineRule="auto"/>
        <w:ind w:firstLine="705"/>
        <w:jc w:val="both"/>
        <w:rPr>
          <w:rFonts w:ascii="Bookman Old Style" w:hAnsi="Bookman Old Style"/>
          <w:sz w:val="18"/>
          <w:szCs w:val="18"/>
        </w:rPr>
      </w:pPr>
    </w:p>
    <w:p w:rsidR="00110446" w:rsidRDefault="00110446" w:rsidP="00110446">
      <w:pPr>
        <w:pStyle w:val="PargrafodaLista"/>
        <w:numPr>
          <w:ilvl w:val="0"/>
          <w:numId w:val="3"/>
        </w:numPr>
        <w:spacing w:after="0" w:line="360" w:lineRule="auto"/>
        <w:jc w:val="both"/>
        <w:rPr>
          <w:rFonts w:ascii="Bookman Old Style" w:hAnsi="Bookman Old Style"/>
          <w:sz w:val="18"/>
          <w:szCs w:val="18"/>
        </w:rPr>
      </w:pPr>
      <w:r>
        <w:rPr>
          <w:rFonts w:ascii="Bookman Old Style" w:hAnsi="Bookman Old Style"/>
          <w:sz w:val="18"/>
          <w:szCs w:val="18"/>
        </w:rPr>
        <w:t xml:space="preserve">Suponha que uma disposição penal aprovada em 1888 prevê </w:t>
      </w:r>
      <w:proofErr w:type="gramStart"/>
      <w:r>
        <w:rPr>
          <w:rFonts w:ascii="Bookman Old Style" w:hAnsi="Bookman Old Style"/>
          <w:sz w:val="18"/>
          <w:szCs w:val="18"/>
        </w:rPr>
        <w:t>que</w:t>
      </w:r>
      <w:proofErr w:type="gramEnd"/>
      <w:r>
        <w:rPr>
          <w:rFonts w:ascii="Bookman Old Style" w:hAnsi="Bookman Old Style"/>
          <w:sz w:val="18"/>
          <w:szCs w:val="18"/>
        </w:rPr>
        <w:t>: “</w:t>
      </w:r>
      <w:r w:rsidRPr="0072698C">
        <w:rPr>
          <w:rFonts w:ascii="Bookman Old Style" w:hAnsi="Bookman Old Style"/>
          <w:i/>
          <w:sz w:val="18"/>
          <w:szCs w:val="18"/>
        </w:rPr>
        <w:t>Considera-se ofensa corporal qualificada, correspondendo-lhe um agravamento em um terço da pena aplicada às ofensas corporais simples, a que for perpetrada por meio de arma ou outr</w:t>
      </w:r>
      <w:r w:rsidR="009D4175" w:rsidRPr="0072698C">
        <w:rPr>
          <w:rFonts w:ascii="Bookman Old Style" w:hAnsi="Bookman Old Style"/>
          <w:i/>
          <w:sz w:val="18"/>
          <w:szCs w:val="18"/>
        </w:rPr>
        <w:t>o instrumento perigoso</w:t>
      </w:r>
      <w:r w:rsidR="009D4175">
        <w:rPr>
          <w:rFonts w:ascii="Bookman Old Style" w:hAnsi="Bookman Old Style"/>
          <w:sz w:val="18"/>
          <w:szCs w:val="18"/>
        </w:rPr>
        <w:t xml:space="preserve">”. Em 2012, B despejou na face de A uma boa quantidade de ácido clorídrico. Pode ser punido por ofensas corporais </w:t>
      </w:r>
      <w:proofErr w:type="gramStart"/>
      <w:r w:rsidR="009D4175">
        <w:rPr>
          <w:rFonts w:ascii="Bookman Old Style" w:hAnsi="Bookman Old Style"/>
          <w:sz w:val="18"/>
          <w:szCs w:val="18"/>
        </w:rPr>
        <w:t>qualificadas?;</w:t>
      </w:r>
      <w:proofErr w:type="gramEnd"/>
    </w:p>
    <w:p w:rsidR="005F032B" w:rsidRDefault="005F032B" w:rsidP="005F032B">
      <w:pPr>
        <w:pStyle w:val="PargrafodaLista"/>
        <w:numPr>
          <w:ilvl w:val="0"/>
          <w:numId w:val="3"/>
        </w:numPr>
        <w:spacing w:after="0" w:line="360" w:lineRule="auto"/>
        <w:jc w:val="both"/>
        <w:rPr>
          <w:rFonts w:ascii="Bookman Old Style" w:hAnsi="Bookman Old Style"/>
          <w:sz w:val="18"/>
          <w:szCs w:val="18"/>
        </w:rPr>
      </w:pPr>
      <w:r>
        <w:rPr>
          <w:rFonts w:ascii="Bookman Old Style" w:hAnsi="Bookman Old Style"/>
          <w:sz w:val="18"/>
          <w:szCs w:val="18"/>
        </w:rPr>
        <w:t>Amélia foi casada com Bernardo de 2000 a 2002. Em 2001 engravidou e deu à luz Cristina. À face do disposto no artigo 1826</w:t>
      </w:r>
      <w:r w:rsidR="00081731">
        <w:rPr>
          <w:rFonts w:ascii="Bookman Old Style" w:hAnsi="Bookman Old Style"/>
          <w:sz w:val="18"/>
          <w:szCs w:val="18"/>
        </w:rPr>
        <w:t>.º</w:t>
      </w:r>
      <w:bookmarkStart w:id="0" w:name="_GoBack"/>
      <w:bookmarkEnd w:id="0"/>
      <w:r>
        <w:rPr>
          <w:rFonts w:ascii="Bookman Old Style" w:hAnsi="Bookman Old Style"/>
          <w:sz w:val="18"/>
          <w:szCs w:val="18"/>
        </w:rPr>
        <w:t>/1 CC deve presumir-se que Cristina é filha de Bernardo?</w:t>
      </w:r>
    </w:p>
    <w:p w:rsidR="00B72600" w:rsidRDefault="00B72600" w:rsidP="00B0719F">
      <w:pPr>
        <w:pStyle w:val="PargrafodaLista"/>
        <w:spacing w:after="0" w:line="360" w:lineRule="auto"/>
        <w:ind w:left="1065"/>
        <w:jc w:val="both"/>
        <w:rPr>
          <w:rFonts w:ascii="Bookman Old Style" w:hAnsi="Bookman Old Style"/>
          <w:sz w:val="18"/>
          <w:szCs w:val="18"/>
        </w:rPr>
      </w:pPr>
    </w:p>
    <w:p w:rsidR="005F032B" w:rsidRDefault="005F032B" w:rsidP="00487DE0">
      <w:pPr>
        <w:spacing w:after="0" w:line="360" w:lineRule="auto"/>
        <w:jc w:val="both"/>
        <w:rPr>
          <w:rFonts w:ascii="Bookman Old Style" w:hAnsi="Bookman Old Style"/>
          <w:sz w:val="18"/>
          <w:szCs w:val="18"/>
        </w:rPr>
      </w:pPr>
    </w:p>
    <w:sectPr w:rsidR="005F032B" w:rsidSect="00D65D8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24" w:rsidRDefault="00F01B24" w:rsidP="00BA4F37">
      <w:pPr>
        <w:spacing w:after="0" w:line="240" w:lineRule="auto"/>
      </w:pPr>
      <w:r>
        <w:separator/>
      </w:r>
    </w:p>
  </w:endnote>
  <w:endnote w:type="continuationSeparator" w:id="0">
    <w:p w:rsidR="00F01B24" w:rsidRDefault="00F01B24" w:rsidP="00BA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9293885"/>
      <w:docPartObj>
        <w:docPartGallery w:val="Page Numbers (Bottom of Page)"/>
        <w:docPartUnique/>
      </w:docPartObj>
    </w:sdtPr>
    <w:sdtEndPr/>
    <w:sdtContent>
      <w:p w:rsidR="00B0719F" w:rsidRPr="00BA4F37" w:rsidRDefault="00B0719F">
        <w:pPr>
          <w:pStyle w:val="Rodap"/>
          <w:jc w:val="center"/>
          <w:rPr>
            <w:rFonts w:ascii="Bookman Old Style" w:hAnsi="Bookman Old Style"/>
          </w:rPr>
        </w:pPr>
        <w:r w:rsidRPr="00BA4F37">
          <w:rPr>
            <w:rFonts w:ascii="Bookman Old Style" w:hAnsi="Bookman Old Style"/>
          </w:rPr>
          <w:fldChar w:fldCharType="begin"/>
        </w:r>
        <w:r w:rsidRPr="00BA4F37">
          <w:rPr>
            <w:rFonts w:ascii="Bookman Old Style" w:hAnsi="Bookman Old Style"/>
          </w:rPr>
          <w:instrText xml:space="preserve"> PAGE   \* MERGEFORMAT </w:instrText>
        </w:r>
        <w:r w:rsidRPr="00BA4F37">
          <w:rPr>
            <w:rFonts w:ascii="Bookman Old Style" w:hAnsi="Bookman Old Style"/>
          </w:rPr>
          <w:fldChar w:fldCharType="separate"/>
        </w:r>
        <w:r w:rsidR="00081731">
          <w:rPr>
            <w:rFonts w:ascii="Bookman Old Style" w:hAnsi="Bookman Old Style"/>
            <w:noProof/>
          </w:rPr>
          <w:t>2</w:t>
        </w:r>
        <w:r w:rsidRPr="00BA4F37">
          <w:rPr>
            <w:rFonts w:ascii="Bookman Old Style" w:hAnsi="Bookman Old Style"/>
          </w:rPr>
          <w:fldChar w:fldCharType="end"/>
        </w:r>
      </w:p>
    </w:sdtContent>
  </w:sdt>
  <w:p w:rsidR="00B0719F" w:rsidRDefault="00B071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24" w:rsidRDefault="00F01B24" w:rsidP="00BA4F37">
      <w:pPr>
        <w:spacing w:after="0" w:line="240" w:lineRule="auto"/>
      </w:pPr>
      <w:r>
        <w:separator/>
      </w:r>
    </w:p>
  </w:footnote>
  <w:footnote w:type="continuationSeparator" w:id="0">
    <w:p w:rsidR="00F01B24" w:rsidRDefault="00F01B24" w:rsidP="00BA4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9F" w:rsidRPr="00BA4F37" w:rsidRDefault="00B0719F" w:rsidP="00BA4F37">
    <w:pPr>
      <w:pStyle w:val="Cabealho"/>
      <w:pBdr>
        <w:bottom w:val="single" w:sz="4" w:space="1" w:color="auto"/>
      </w:pBdr>
      <w:jc w:val="center"/>
      <w:rPr>
        <w:rFonts w:ascii="Bookman Old Style" w:hAnsi="Bookman Old Style"/>
        <w:i/>
      </w:rPr>
    </w:pPr>
    <w:r>
      <w:rPr>
        <w:rFonts w:ascii="Bookman Old Style" w:hAnsi="Bookman Old Style"/>
        <w:i/>
      </w:rPr>
      <w:t>Casos Práticos de Introdução ao Estudo do Direito – 2011/2012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50575"/>
    <w:multiLevelType w:val="hybridMultilevel"/>
    <w:tmpl w:val="0BD65878"/>
    <w:lvl w:ilvl="0" w:tplc="EF66C94C">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1">
    <w:nsid w:val="51393DC4"/>
    <w:multiLevelType w:val="hybridMultilevel"/>
    <w:tmpl w:val="47866E1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9DA5775"/>
    <w:multiLevelType w:val="hybridMultilevel"/>
    <w:tmpl w:val="F1F29AC4"/>
    <w:lvl w:ilvl="0" w:tplc="19CE4CC0">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4F37"/>
    <w:rsid w:val="00081731"/>
    <w:rsid w:val="000A007D"/>
    <w:rsid w:val="00110446"/>
    <w:rsid w:val="001C55D4"/>
    <w:rsid w:val="001E3570"/>
    <w:rsid w:val="002C2DA1"/>
    <w:rsid w:val="00356333"/>
    <w:rsid w:val="00487DE0"/>
    <w:rsid w:val="0053253C"/>
    <w:rsid w:val="005F032B"/>
    <w:rsid w:val="00673F70"/>
    <w:rsid w:val="006B5313"/>
    <w:rsid w:val="006C0CD7"/>
    <w:rsid w:val="00704AF9"/>
    <w:rsid w:val="0072698C"/>
    <w:rsid w:val="008D0867"/>
    <w:rsid w:val="00980C4D"/>
    <w:rsid w:val="009D4175"/>
    <w:rsid w:val="00A302A5"/>
    <w:rsid w:val="00AE0884"/>
    <w:rsid w:val="00AF28DF"/>
    <w:rsid w:val="00B06F18"/>
    <w:rsid w:val="00B0719F"/>
    <w:rsid w:val="00B6783C"/>
    <w:rsid w:val="00B72600"/>
    <w:rsid w:val="00BA4F37"/>
    <w:rsid w:val="00D65D88"/>
    <w:rsid w:val="00E020D6"/>
    <w:rsid w:val="00EA7BE7"/>
    <w:rsid w:val="00EF362A"/>
    <w:rsid w:val="00F01B2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D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BA4F3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BA4F37"/>
  </w:style>
  <w:style w:type="paragraph" w:styleId="Rodap">
    <w:name w:val="footer"/>
    <w:basedOn w:val="Normal"/>
    <w:link w:val="RodapCarcter"/>
    <w:uiPriority w:val="99"/>
    <w:unhideWhenUsed/>
    <w:rsid w:val="00BA4F3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A4F37"/>
  </w:style>
  <w:style w:type="paragraph" w:styleId="PargrafodaLista">
    <w:name w:val="List Paragraph"/>
    <w:basedOn w:val="Normal"/>
    <w:uiPriority w:val="34"/>
    <w:qFormat/>
    <w:rsid w:val="00BA4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BA4F3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BA4F37"/>
  </w:style>
  <w:style w:type="paragraph" w:styleId="Rodap">
    <w:name w:val="footer"/>
    <w:basedOn w:val="Normal"/>
    <w:link w:val="RodapCarcter"/>
    <w:uiPriority w:val="99"/>
    <w:unhideWhenUsed/>
    <w:rsid w:val="00BA4F3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A4F37"/>
  </w:style>
  <w:style w:type="paragraph" w:styleId="PargrafodaLista">
    <w:name w:val="List Paragraph"/>
    <w:basedOn w:val="Normal"/>
    <w:uiPriority w:val="34"/>
    <w:qFormat/>
    <w:rsid w:val="00BA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668</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Ricardo Bernardes</cp:lastModifiedBy>
  <cp:revision>10</cp:revision>
  <dcterms:created xsi:type="dcterms:W3CDTF">2012-04-24T08:35:00Z</dcterms:created>
  <dcterms:modified xsi:type="dcterms:W3CDTF">2013-04-18T10:08:00Z</dcterms:modified>
</cp:coreProperties>
</file>