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245" w:rsidRDefault="00933245" w:rsidP="00933245">
      <w:pPr>
        <w:spacing w:after="0" w:line="360" w:lineRule="auto"/>
        <w:jc w:val="center"/>
        <w:rPr>
          <w:rFonts w:ascii="Bookman Old Style" w:hAnsi="Bookman Old Style"/>
          <w:b/>
          <w:u w:val="single"/>
        </w:rPr>
      </w:pPr>
      <w:r>
        <w:rPr>
          <w:rFonts w:ascii="Bookman Old Style" w:hAnsi="Bookman Old Style"/>
          <w:b/>
          <w:u w:val="single"/>
        </w:rPr>
        <w:t>CASOS PRÁTICOS</w:t>
      </w:r>
    </w:p>
    <w:p w:rsidR="00933245" w:rsidRDefault="00933245" w:rsidP="00933245">
      <w:pPr>
        <w:spacing w:after="0" w:line="360" w:lineRule="auto"/>
        <w:jc w:val="center"/>
        <w:rPr>
          <w:rFonts w:ascii="Bookman Old Style" w:hAnsi="Bookman Old Style"/>
          <w:b/>
          <w:u w:val="single"/>
        </w:rPr>
      </w:pPr>
    </w:p>
    <w:p w:rsidR="00933245" w:rsidRDefault="00933245" w:rsidP="00933245">
      <w:pPr>
        <w:spacing w:after="0" w:line="360" w:lineRule="auto"/>
        <w:jc w:val="center"/>
        <w:rPr>
          <w:rFonts w:ascii="Bookman Old Style" w:hAnsi="Bookman Old Style"/>
          <w:b/>
          <w:u w:val="single"/>
        </w:rPr>
      </w:pPr>
      <w:r>
        <w:rPr>
          <w:rFonts w:ascii="Bookman Old Style" w:hAnsi="Bookman Old Style"/>
          <w:b/>
          <w:u w:val="single"/>
        </w:rPr>
        <w:t>Aplicação da Lei no Tempo</w:t>
      </w:r>
    </w:p>
    <w:p w:rsidR="00933245" w:rsidRDefault="00933245" w:rsidP="00933245">
      <w:pPr>
        <w:spacing w:after="0" w:line="360" w:lineRule="auto"/>
        <w:jc w:val="center"/>
        <w:rPr>
          <w:rFonts w:ascii="Bookman Old Style" w:hAnsi="Bookman Old Style"/>
          <w:b/>
          <w:u w:val="single"/>
        </w:rPr>
      </w:pPr>
    </w:p>
    <w:p w:rsidR="00166F27" w:rsidRDefault="00166F27" w:rsidP="00933245">
      <w:pPr>
        <w:spacing w:after="0" w:line="360" w:lineRule="auto"/>
        <w:jc w:val="center"/>
        <w:rPr>
          <w:rFonts w:ascii="Bookman Old Style" w:hAnsi="Bookman Old Style"/>
          <w:b/>
          <w:u w:val="single"/>
        </w:rPr>
      </w:pPr>
    </w:p>
    <w:p w:rsidR="00166F27" w:rsidRDefault="00166F27" w:rsidP="00166F27">
      <w:pPr>
        <w:spacing w:after="0" w:line="360" w:lineRule="auto"/>
        <w:jc w:val="both"/>
        <w:rPr>
          <w:rFonts w:ascii="Bookman Old Style" w:hAnsi="Bookman Old Style"/>
          <w:i/>
        </w:rPr>
      </w:pPr>
      <w:r w:rsidRPr="00166F27">
        <w:rPr>
          <w:rFonts w:ascii="Bookman Old Style" w:hAnsi="Bookman Old Style"/>
          <w:b/>
        </w:rPr>
        <w:t xml:space="preserve">NOTA </w:t>
      </w:r>
      <w:r>
        <w:rPr>
          <w:rFonts w:ascii="Bookman Old Style" w:hAnsi="Bookman Old Style"/>
        </w:rPr>
        <w:t xml:space="preserve">– </w:t>
      </w:r>
      <w:r w:rsidRPr="00166F27">
        <w:rPr>
          <w:rFonts w:ascii="Bookman Old Style" w:hAnsi="Bookman Old Style"/>
          <w:i/>
        </w:rPr>
        <w:t>Todos os diplomas citados nas presentes hipóteses são fictícios, exceto se do próprio enunciado da hipótese se depreender o contrário.</w:t>
      </w:r>
    </w:p>
    <w:p w:rsidR="004D152E" w:rsidRPr="00166F27" w:rsidRDefault="004D152E" w:rsidP="00166F27">
      <w:pPr>
        <w:spacing w:after="0" w:line="360" w:lineRule="auto"/>
        <w:jc w:val="both"/>
        <w:rPr>
          <w:rFonts w:ascii="Bookman Old Style" w:hAnsi="Bookman Old Style"/>
          <w:i/>
        </w:rPr>
      </w:pPr>
      <w:r>
        <w:rPr>
          <w:rFonts w:ascii="Bookman Old Style" w:hAnsi="Bookman Old Style"/>
          <w:i/>
        </w:rPr>
        <w:t>Quando isso for relevante, e o contrário não decorrer do texto das próprias hipóteses, admita que as Leis citadas entraram em vigor no dia da publicação.</w:t>
      </w:r>
    </w:p>
    <w:p w:rsidR="00166F27" w:rsidRPr="00166F27" w:rsidRDefault="00166F27" w:rsidP="00166F27">
      <w:pPr>
        <w:spacing w:after="0" w:line="360" w:lineRule="auto"/>
        <w:jc w:val="both"/>
        <w:rPr>
          <w:rFonts w:ascii="Bookman Old Style" w:hAnsi="Bookman Old Style"/>
        </w:rPr>
      </w:pPr>
    </w:p>
    <w:p w:rsidR="00933245" w:rsidRDefault="00933245" w:rsidP="00CE0EB6">
      <w:pPr>
        <w:spacing w:after="0" w:line="360" w:lineRule="auto"/>
        <w:jc w:val="center"/>
        <w:rPr>
          <w:rFonts w:ascii="Bookman Old Style" w:hAnsi="Bookman Old Style"/>
          <w:b/>
        </w:rPr>
      </w:pPr>
      <w:r w:rsidRPr="00DA4CF6">
        <w:rPr>
          <w:rFonts w:ascii="Bookman Old Style" w:hAnsi="Bookman Old Style"/>
          <w:b/>
        </w:rPr>
        <w:t xml:space="preserve">§ </w:t>
      </w:r>
      <w:r>
        <w:rPr>
          <w:rFonts w:ascii="Bookman Old Style" w:hAnsi="Bookman Old Style"/>
          <w:b/>
        </w:rPr>
        <w:t>2</w:t>
      </w:r>
    </w:p>
    <w:p w:rsidR="00CE0EB6" w:rsidRPr="00CE0EB6" w:rsidRDefault="00CE0EB6" w:rsidP="00CE0EB6">
      <w:pPr>
        <w:spacing w:after="0" w:line="360" w:lineRule="auto"/>
        <w:jc w:val="center"/>
        <w:rPr>
          <w:rFonts w:ascii="Bookman Old Style" w:hAnsi="Bookman Old Style"/>
          <w:b/>
        </w:rPr>
      </w:pPr>
    </w:p>
    <w:p w:rsidR="00933245" w:rsidRPr="00B11897" w:rsidRDefault="00933245" w:rsidP="00933245">
      <w:pPr>
        <w:spacing w:after="0" w:line="360" w:lineRule="auto"/>
        <w:jc w:val="center"/>
        <w:rPr>
          <w:rFonts w:ascii="Bookman Old Style" w:hAnsi="Bookman Old Style"/>
          <w:b/>
        </w:rPr>
      </w:pPr>
      <w:r w:rsidRPr="00B11897">
        <w:rPr>
          <w:rFonts w:ascii="Bookman Old Style" w:hAnsi="Bookman Old Style"/>
          <w:b/>
        </w:rPr>
        <w:t>I</w:t>
      </w:r>
    </w:p>
    <w:p w:rsidR="00993E46" w:rsidRDefault="00993E46" w:rsidP="0062598A">
      <w:pPr>
        <w:spacing w:after="0" w:line="360" w:lineRule="auto"/>
        <w:ind w:firstLine="708"/>
        <w:jc w:val="both"/>
        <w:rPr>
          <w:rFonts w:ascii="Bookman Old Style" w:hAnsi="Bookman Old Style"/>
        </w:rPr>
      </w:pPr>
      <w:r>
        <w:rPr>
          <w:rFonts w:ascii="Bookman Old Style" w:hAnsi="Bookman Old Style"/>
        </w:rPr>
        <w:t>Suponha que a Lei X/2012, de 1 de janeiro, vem alterar o artigo 122.º do Código Civil dando-lhe a seguinte redação: “</w:t>
      </w:r>
      <w:r w:rsidRPr="003C52D5">
        <w:rPr>
          <w:rFonts w:ascii="Bookman Old Style" w:hAnsi="Bookman Old Style"/>
          <w:i/>
        </w:rPr>
        <w:t>é menor quem ainda não tiver completado 21 anos de idade</w:t>
      </w:r>
      <w:r>
        <w:rPr>
          <w:rFonts w:ascii="Bookman Old Style" w:hAnsi="Bookman Old Style"/>
        </w:rPr>
        <w:t>”.</w:t>
      </w:r>
    </w:p>
    <w:p w:rsidR="00993E46" w:rsidRDefault="00133F84" w:rsidP="00166F27">
      <w:pPr>
        <w:spacing w:after="0" w:line="360" w:lineRule="auto"/>
        <w:ind w:firstLine="708"/>
        <w:jc w:val="both"/>
        <w:rPr>
          <w:rFonts w:ascii="Bookman Old Style" w:hAnsi="Bookman Old Style"/>
        </w:rPr>
      </w:pPr>
      <w:r>
        <w:rPr>
          <w:rFonts w:ascii="Bookman Old Style" w:hAnsi="Bookman Old Style"/>
        </w:rPr>
        <w:t>DINAMENE</w:t>
      </w:r>
      <w:r w:rsidR="00993E46">
        <w:rPr>
          <w:rFonts w:ascii="Bookman Old Style" w:hAnsi="Bookman Old Style"/>
        </w:rPr>
        <w:t>, nascid</w:t>
      </w:r>
      <w:r>
        <w:rPr>
          <w:rFonts w:ascii="Bookman Old Style" w:hAnsi="Bookman Old Style"/>
        </w:rPr>
        <w:t>a</w:t>
      </w:r>
      <w:r w:rsidR="00993E46">
        <w:rPr>
          <w:rFonts w:ascii="Bookman Old Style" w:hAnsi="Bookman Old Style"/>
        </w:rPr>
        <w:t xml:space="preserve"> em Portugal</w:t>
      </w:r>
      <w:r>
        <w:rPr>
          <w:rFonts w:ascii="Bookman Old Style" w:hAnsi="Bookman Old Style"/>
        </w:rPr>
        <w:t xml:space="preserve"> </w:t>
      </w:r>
      <w:r w:rsidR="00076084">
        <w:rPr>
          <w:rFonts w:ascii="Bookman Old Style" w:hAnsi="Bookman Old Style"/>
        </w:rPr>
        <w:t xml:space="preserve">em </w:t>
      </w:r>
      <w:r>
        <w:rPr>
          <w:rFonts w:ascii="Bookman Old Style" w:hAnsi="Bookman Old Style"/>
        </w:rPr>
        <w:t>1993</w:t>
      </w:r>
      <w:r w:rsidR="00993E46">
        <w:rPr>
          <w:rFonts w:ascii="Bookman Old Style" w:hAnsi="Bookman Old Style"/>
        </w:rPr>
        <w:t>, completo</w:t>
      </w:r>
      <w:r w:rsidR="00713444">
        <w:rPr>
          <w:rFonts w:ascii="Bookman Old Style" w:hAnsi="Bookman Old Style"/>
        </w:rPr>
        <w:t>u</w:t>
      </w:r>
      <w:r w:rsidR="00993E46">
        <w:rPr>
          <w:rFonts w:ascii="Bookman Old Style" w:hAnsi="Bookman Old Style"/>
        </w:rPr>
        <w:t xml:space="preserve"> 18 anos em 1 de dezembro de 2011 e inscreveu-se na escola de condução “Sobre Rodas, </w:t>
      </w:r>
      <w:proofErr w:type="spellStart"/>
      <w:r w:rsidR="00993E46">
        <w:rPr>
          <w:rFonts w:ascii="Bookman Old Style" w:hAnsi="Bookman Old Style"/>
        </w:rPr>
        <w:t>Lda</w:t>
      </w:r>
      <w:proofErr w:type="spellEnd"/>
      <w:r w:rsidR="00993E46">
        <w:rPr>
          <w:rFonts w:ascii="Bookman Old Style" w:hAnsi="Bookman Old Style"/>
        </w:rPr>
        <w:t xml:space="preserve">”, para “tirar a carta” de ligeiros. </w:t>
      </w:r>
      <w:r w:rsidR="00713444">
        <w:rPr>
          <w:rFonts w:ascii="Bookman Old Style" w:hAnsi="Bookman Old Style"/>
        </w:rPr>
        <w:t xml:space="preserve">Em face do disposto na Lei X/2012 e tendo em conta outra legislação, nos termos da qual só poderão frequentar escolas de condução alunos maiores de idade, os responsáveis da “Sobre Rodas, </w:t>
      </w:r>
      <w:proofErr w:type="spellStart"/>
      <w:r w:rsidR="00713444">
        <w:rPr>
          <w:rFonts w:ascii="Bookman Old Style" w:hAnsi="Bookman Old Style"/>
        </w:rPr>
        <w:t>Lda</w:t>
      </w:r>
      <w:proofErr w:type="spellEnd"/>
      <w:r w:rsidR="00713444">
        <w:rPr>
          <w:rFonts w:ascii="Bookman Old Style" w:hAnsi="Bookman Old Style"/>
        </w:rPr>
        <w:t xml:space="preserve">” afirmam que </w:t>
      </w:r>
      <w:r>
        <w:rPr>
          <w:rFonts w:ascii="Bookman Old Style" w:hAnsi="Bookman Old Style"/>
        </w:rPr>
        <w:t>DINAMENE</w:t>
      </w:r>
      <w:r w:rsidR="00713444">
        <w:rPr>
          <w:rFonts w:ascii="Bookman Old Style" w:hAnsi="Bookman Old Style"/>
        </w:rPr>
        <w:t xml:space="preserve"> não pode prosseguir o “curso” (embora se disponham a devolver o dinheiro que já pagou). </w:t>
      </w:r>
      <w:proofErr w:type="spellStart"/>
      <w:r w:rsidR="00713444" w:rsidRPr="00713444">
        <w:rPr>
          <w:rFonts w:ascii="Bookman Old Style" w:hAnsi="Bookman Old Style"/>
          <w:i/>
        </w:rPr>
        <w:t>Quid</w:t>
      </w:r>
      <w:proofErr w:type="spellEnd"/>
      <w:r w:rsidR="00713444" w:rsidRPr="00713444">
        <w:rPr>
          <w:rFonts w:ascii="Bookman Old Style" w:hAnsi="Bookman Old Style"/>
          <w:i/>
        </w:rPr>
        <w:t xml:space="preserve"> </w:t>
      </w:r>
      <w:proofErr w:type="spellStart"/>
      <w:r w:rsidR="00713444" w:rsidRPr="00713444">
        <w:rPr>
          <w:rFonts w:ascii="Bookman Old Style" w:hAnsi="Bookman Old Style"/>
          <w:i/>
        </w:rPr>
        <w:t>iuris</w:t>
      </w:r>
      <w:proofErr w:type="spellEnd"/>
      <w:r w:rsidR="00713444" w:rsidRPr="00713444">
        <w:rPr>
          <w:rFonts w:ascii="Bookman Old Style" w:hAnsi="Bookman Old Style"/>
          <w:i/>
        </w:rPr>
        <w:t>?</w:t>
      </w:r>
    </w:p>
    <w:p w:rsidR="00166F27" w:rsidRDefault="00166F27" w:rsidP="00166F27">
      <w:pPr>
        <w:spacing w:after="0" w:line="360" w:lineRule="auto"/>
        <w:ind w:firstLine="708"/>
        <w:jc w:val="both"/>
        <w:rPr>
          <w:rFonts w:ascii="Bookman Old Style" w:hAnsi="Bookman Old Style"/>
        </w:rPr>
      </w:pPr>
    </w:p>
    <w:p w:rsidR="00166F27" w:rsidRPr="00166F27" w:rsidRDefault="00713444" w:rsidP="00166F27">
      <w:pPr>
        <w:spacing w:after="0" w:line="360" w:lineRule="auto"/>
        <w:jc w:val="center"/>
        <w:rPr>
          <w:rFonts w:ascii="Bookman Old Style" w:hAnsi="Bookman Old Style"/>
          <w:b/>
        </w:rPr>
      </w:pPr>
      <w:r w:rsidRPr="00166F27">
        <w:rPr>
          <w:rFonts w:ascii="Bookman Old Style" w:hAnsi="Bookman Old Style"/>
          <w:b/>
        </w:rPr>
        <w:t>II</w:t>
      </w:r>
    </w:p>
    <w:p w:rsidR="00166F27" w:rsidRDefault="00166F27" w:rsidP="00166F27">
      <w:pPr>
        <w:spacing w:after="0" w:line="360" w:lineRule="auto"/>
        <w:jc w:val="both"/>
        <w:rPr>
          <w:rFonts w:ascii="Bookman Old Style" w:hAnsi="Bookman Old Style"/>
        </w:rPr>
      </w:pPr>
      <w:r>
        <w:rPr>
          <w:rFonts w:ascii="Bookman Old Style" w:hAnsi="Bookman Old Style"/>
        </w:rPr>
        <w:tab/>
        <w:t xml:space="preserve">A Lei n.º x/2002, de 1 de janeiro vem prever </w:t>
      </w:r>
      <w:proofErr w:type="gramStart"/>
      <w:r>
        <w:rPr>
          <w:rFonts w:ascii="Bookman Old Style" w:hAnsi="Bookman Old Style"/>
        </w:rPr>
        <w:t>que</w:t>
      </w:r>
      <w:proofErr w:type="gramEnd"/>
      <w:r>
        <w:rPr>
          <w:rFonts w:ascii="Bookman Old Style" w:hAnsi="Bookman Old Style"/>
        </w:rPr>
        <w:t>: “</w:t>
      </w:r>
      <w:r w:rsidR="003A4757">
        <w:rPr>
          <w:rFonts w:ascii="Bookman Old Style" w:hAnsi="Bookman Old Style"/>
          <w:i/>
        </w:rPr>
        <w:t>o condutor que culposamente</w:t>
      </w:r>
      <w:r w:rsidRPr="00166F27">
        <w:rPr>
          <w:rFonts w:ascii="Bookman Old Style" w:hAnsi="Bookman Old Style"/>
          <w:i/>
        </w:rPr>
        <w:t xml:space="preserve"> der causa a um acidente de viação, responde integralmente pelos danos causados</w:t>
      </w:r>
      <w:r>
        <w:rPr>
          <w:rFonts w:ascii="Bookman Old Style" w:hAnsi="Bookman Old Style"/>
        </w:rPr>
        <w:t>.”</w:t>
      </w:r>
    </w:p>
    <w:p w:rsidR="00166F27" w:rsidRDefault="00166F27" w:rsidP="00166F27">
      <w:pPr>
        <w:spacing w:after="0" w:line="360" w:lineRule="auto"/>
        <w:jc w:val="both"/>
        <w:rPr>
          <w:rFonts w:ascii="Bookman Old Style" w:hAnsi="Bookman Old Style"/>
        </w:rPr>
      </w:pPr>
      <w:r>
        <w:rPr>
          <w:rFonts w:ascii="Bookman Old Style" w:hAnsi="Bookman Old Style"/>
        </w:rPr>
        <w:tab/>
        <w:t xml:space="preserve">O Decreto-Lei n.º Y/2012, de 1 de janeiro, vem por seu turno, prever: </w:t>
      </w:r>
      <w:r w:rsidR="003A4757">
        <w:rPr>
          <w:rFonts w:ascii="Bookman Old Style" w:hAnsi="Bookman Old Style"/>
          <w:i/>
        </w:rPr>
        <w:t>“o condutor que culposamente</w:t>
      </w:r>
      <w:r w:rsidRPr="00166F27">
        <w:rPr>
          <w:rFonts w:ascii="Bookman Old Style" w:hAnsi="Bookman Old Style"/>
          <w:i/>
        </w:rPr>
        <w:t xml:space="preserve"> der causa a um acidente de viação, responde integralmente pelos danos causados</w:t>
      </w:r>
      <w:r>
        <w:rPr>
          <w:rFonts w:ascii="Bookman Old Style" w:hAnsi="Bookman Old Style"/>
          <w:i/>
        </w:rPr>
        <w:t xml:space="preserve">, estando ainda </w:t>
      </w:r>
      <w:r w:rsidRPr="00166F27">
        <w:rPr>
          <w:rFonts w:ascii="Bookman Old Style" w:hAnsi="Bookman Old Style"/>
          <w:i/>
        </w:rPr>
        <w:t>obrigado a efetuar uma contribuição pecuniária para o Fundo de Garantia Automóvel</w:t>
      </w:r>
      <w:r>
        <w:rPr>
          <w:rFonts w:ascii="Bookman Old Style" w:hAnsi="Bookman Old Style"/>
        </w:rPr>
        <w:t>”.</w:t>
      </w:r>
    </w:p>
    <w:p w:rsidR="00166F27" w:rsidRDefault="00166F27" w:rsidP="00166F27">
      <w:pPr>
        <w:spacing w:after="0" w:line="360" w:lineRule="auto"/>
        <w:jc w:val="both"/>
        <w:rPr>
          <w:rFonts w:ascii="Bookman Old Style" w:hAnsi="Bookman Old Style"/>
        </w:rPr>
      </w:pPr>
      <w:r>
        <w:rPr>
          <w:rFonts w:ascii="Bookman Old Style" w:hAnsi="Bookman Old Style"/>
        </w:rPr>
        <w:tab/>
        <w:t xml:space="preserve">CACO ANTIBES tem por hábito falar ao telemóvel enquanto conduz. No passado 31 de dezembro de 2011, quando atravessava um cruzamento de uma rua de Lisboa ao volante do seu carro, distraído a falar ao telemóvel com </w:t>
      </w:r>
      <w:r>
        <w:rPr>
          <w:rFonts w:ascii="Bookman Old Style" w:hAnsi="Bookman Old Style"/>
        </w:rPr>
        <w:lastRenderedPageBreak/>
        <w:t xml:space="preserve">a esposa, MAGDA, não se apercebeu de outro veículo que ia a passar e tinha prioridade naquela via, acabando por colidir com ele. </w:t>
      </w:r>
    </w:p>
    <w:p w:rsidR="00166F27" w:rsidRPr="00166F27" w:rsidRDefault="003A4757" w:rsidP="00166F27">
      <w:pPr>
        <w:spacing w:after="0" w:line="360" w:lineRule="auto"/>
        <w:jc w:val="both"/>
        <w:rPr>
          <w:rFonts w:ascii="Bookman Old Style" w:hAnsi="Bookman Old Style"/>
          <w:i/>
        </w:rPr>
      </w:pPr>
      <w:r>
        <w:rPr>
          <w:rFonts w:ascii="Bookman Old Style" w:hAnsi="Bookman Old Style"/>
        </w:rPr>
        <w:tab/>
        <w:t xml:space="preserve">O caso foi a tribunal e hoje </w:t>
      </w:r>
      <w:r w:rsidR="00166F27">
        <w:rPr>
          <w:rFonts w:ascii="Bookman Old Style" w:hAnsi="Bookman Old Style"/>
        </w:rPr>
        <w:t xml:space="preserve">CACO ANTIBES quer saber se deve apenas indemnizar VAVÁ (o condutor do outro carro) ou se também tem que contribuir para o fundo de garantia automóvel. </w:t>
      </w:r>
      <w:proofErr w:type="spellStart"/>
      <w:r w:rsidR="00166F27" w:rsidRPr="00166F27">
        <w:rPr>
          <w:rFonts w:ascii="Bookman Old Style" w:hAnsi="Bookman Old Style"/>
          <w:i/>
        </w:rPr>
        <w:t>Quid</w:t>
      </w:r>
      <w:proofErr w:type="spellEnd"/>
      <w:r w:rsidR="00166F27" w:rsidRPr="00166F27">
        <w:rPr>
          <w:rFonts w:ascii="Bookman Old Style" w:hAnsi="Bookman Old Style"/>
          <w:i/>
        </w:rPr>
        <w:t xml:space="preserve"> </w:t>
      </w:r>
      <w:proofErr w:type="spellStart"/>
      <w:r w:rsidR="00166F27" w:rsidRPr="00166F27">
        <w:rPr>
          <w:rFonts w:ascii="Bookman Old Style" w:hAnsi="Bookman Old Style"/>
          <w:i/>
        </w:rPr>
        <w:t>iuris</w:t>
      </w:r>
      <w:proofErr w:type="spellEnd"/>
      <w:r w:rsidR="00166F27" w:rsidRPr="00166F27">
        <w:rPr>
          <w:rFonts w:ascii="Bookman Old Style" w:hAnsi="Bookman Old Style"/>
          <w:i/>
        </w:rPr>
        <w:t>?</w:t>
      </w:r>
    </w:p>
    <w:p w:rsidR="00166F27" w:rsidRPr="00166F27" w:rsidRDefault="00166F27" w:rsidP="00166F27">
      <w:pPr>
        <w:spacing w:after="0" w:line="360" w:lineRule="auto"/>
        <w:jc w:val="both"/>
        <w:rPr>
          <w:rFonts w:ascii="Bookman Old Style" w:hAnsi="Bookman Old Style"/>
          <w:b/>
        </w:rPr>
      </w:pPr>
    </w:p>
    <w:p w:rsidR="00166F27" w:rsidRPr="00166F27" w:rsidRDefault="00166F27" w:rsidP="00166F27">
      <w:pPr>
        <w:spacing w:after="0" w:line="360" w:lineRule="auto"/>
        <w:jc w:val="center"/>
        <w:rPr>
          <w:rFonts w:ascii="Bookman Old Style" w:hAnsi="Bookman Old Style"/>
          <w:b/>
        </w:rPr>
      </w:pPr>
      <w:r w:rsidRPr="00166F27">
        <w:rPr>
          <w:rFonts w:ascii="Bookman Old Style" w:hAnsi="Bookman Old Style"/>
          <w:b/>
        </w:rPr>
        <w:t>III</w:t>
      </w:r>
    </w:p>
    <w:p w:rsidR="004E439E" w:rsidRDefault="00166F27" w:rsidP="009A321F">
      <w:pPr>
        <w:spacing w:after="0" w:line="360" w:lineRule="auto"/>
        <w:jc w:val="both"/>
        <w:rPr>
          <w:rFonts w:ascii="Bookman Old Style" w:hAnsi="Bookman Old Style"/>
        </w:rPr>
      </w:pPr>
      <w:r>
        <w:rPr>
          <w:rFonts w:ascii="Bookman Old Style" w:hAnsi="Bookman Old Style"/>
        </w:rPr>
        <w:tab/>
      </w:r>
      <w:r w:rsidR="004E439E">
        <w:rPr>
          <w:rFonts w:ascii="Bookman Old Style" w:hAnsi="Bookman Old Style"/>
        </w:rPr>
        <w:t>Na sua versão original (de 1966), o artigo 1585.º do Código Civil dispunha: “</w:t>
      </w:r>
      <w:r w:rsidR="004E439E" w:rsidRPr="004E439E">
        <w:rPr>
          <w:rFonts w:ascii="Bookman Old Style" w:hAnsi="Bookman Old Style"/>
          <w:i/>
        </w:rPr>
        <w:t>a afinidade determina-se pelos mesmos graus e linhas que definem o parentesco e não cessa pela dissolução do casamento</w:t>
      </w:r>
      <w:r w:rsidR="004E439E">
        <w:rPr>
          <w:rFonts w:ascii="Bookman Old Style" w:hAnsi="Bookman Old Style"/>
        </w:rPr>
        <w:t>”.</w:t>
      </w:r>
    </w:p>
    <w:p w:rsidR="004E439E" w:rsidRDefault="004E439E" w:rsidP="009A321F">
      <w:pPr>
        <w:spacing w:after="0" w:line="360" w:lineRule="auto"/>
        <w:jc w:val="both"/>
        <w:rPr>
          <w:rFonts w:ascii="Bookman Old Style" w:hAnsi="Bookman Old Style"/>
        </w:rPr>
      </w:pPr>
      <w:r>
        <w:rPr>
          <w:rFonts w:ascii="Bookman Old Style" w:hAnsi="Bookman Old Style"/>
        </w:rPr>
        <w:tab/>
        <w:t>A Lei n.º x/2008, de 31 de outubro, que entrou em vigor a 30 de novembro desse mesmo ano, veio, no entanto, dar a seguinte nova redação a esse preceito: “</w:t>
      </w:r>
      <w:r w:rsidRPr="004E439E">
        <w:rPr>
          <w:rFonts w:ascii="Bookman Old Style" w:hAnsi="Bookman Old Style"/>
          <w:i/>
        </w:rPr>
        <w:t>a afinidade determina-se pelos mesmos graus e linhas que definem o parentesco e não cessa pela dissolução do casamento por morte</w:t>
      </w:r>
      <w:r>
        <w:rPr>
          <w:rFonts w:ascii="Bookman Old Style" w:hAnsi="Bookman Old Style"/>
        </w:rPr>
        <w:t>”.</w:t>
      </w:r>
    </w:p>
    <w:p w:rsidR="00633168" w:rsidRPr="00633168" w:rsidRDefault="004E439E" w:rsidP="009A321F">
      <w:pPr>
        <w:spacing w:after="0" w:line="360" w:lineRule="auto"/>
        <w:jc w:val="both"/>
        <w:rPr>
          <w:rFonts w:ascii="Bookman Old Style" w:hAnsi="Bookman Old Style"/>
        </w:rPr>
      </w:pPr>
      <w:r>
        <w:rPr>
          <w:rFonts w:ascii="Bookman Old Style" w:hAnsi="Bookman Old Style"/>
        </w:rPr>
        <w:tab/>
        <w:t xml:space="preserve">ROMEU casou com JULIETA em novembro de </w:t>
      </w:r>
      <w:r w:rsidR="00633168">
        <w:rPr>
          <w:rFonts w:ascii="Bookman Old Style" w:hAnsi="Bookman Old Style"/>
        </w:rPr>
        <w:t xml:space="preserve">2001, da qual se divorciou </w:t>
      </w:r>
      <w:r>
        <w:rPr>
          <w:rFonts w:ascii="Bookman Old Style" w:hAnsi="Bookman Old Style"/>
        </w:rPr>
        <w:t xml:space="preserve">dois anos depois. Ficou, no entanto, </w:t>
      </w:r>
      <w:r w:rsidR="003A4757">
        <w:rPr>
          <w:rFonts w:ascii="Bookman Old Style" w:hAnsi="Bookman Old Style"/>
        </w:rPr>
        <w:t>muito amigo da “sogra”, HELOÍSA e no início de 2009</w:t>
      </w:r>
      <w:r>
        <w:rPr>
          <w:rFonts w:ascii="Bookman Old Style" w:hAnsi="Bookman Old Style"/>
        </w:rPr>
        <w:t xml:space="preserve"> ambos começaram a namorar. Pretendem agora casar. Só que, tendo em conta a versão original do artigo </w:t>
      </w:r>
      <w:r w:rsidR="00633168">
        <w:rPr>
          <w:rFonts w:ascii="Bookman Old Style" w:hAnsi="Bookman Old Style"/>
        </w:rPr>
        <w:t xml:space="preserve">1585.º receiam ainda ser </w:t>
      </w:r>
      <w:r w:rsidR="00322F81">
        <w:rPr>
          <w:rFonts w:ascii="Bookman Old Style" w:hAnsi="Bookman Old Style"/>
        </w:rPr>
        <w:t>“</w:t>
      </w:r>
      <w:r w:rsidR="00633168">
        <w:rPr>
          <w:rFonts w:ascii="Bookman Old Style" w:hAnsi="Bookman Old Style"/>
        </w:rPr>
        <w:t>afins</w:t>
      </w:r>
      <w:r w:rsidR="00322F81">
        <w:rPr>
          <w:rFonts w:ascii="Bookman Old Style" w:hAnsi="Bookman Old Style"/>
        </w:rPr>
        <w:t>”</w:t>
      </w:r>
      <w:r w:rsidR="00633168">
        <w:rPr>
          <w:rFonts w:ascii="Bookman Old Style" w:hAnsi="Bookman Old Style"/>
        </w:rPr>
        <w:t xml:space="preserve">, </w:t>
      </w:r>
      <w:r>
        <w:rPr>
          <w:rFonts w:ascii="Bookman Old Style" w:hAnsi="Bookman Old Style"/>
        </w:rPr>
        <w:t>não podendo por isso casar-se, nos t</w:t>
      </w:r>
      <w:r w:rsidR="00633168">
        <w:rPr>
          <w:rFonts w:ascii="Bookman Old Style" w:hAnsi="Bookman Old Style"/>
        </w:rPr>
        <w:t xml:space="preserve">ermos do artigo 1602.º c) do </w:t>
      </w:r>
      <w:r w:rsidR="004D152E">
        <w:rPr>
          <w:rFonts w:ascii="Bookman Old Style" w:hAnsi="Bookman Old Style"/>
        </w:rPr>
        <w:t>Código Civil</w:t>
      </w:r>
      <w:r>
        <w:rPr>
          <w:rFonts w:ascii="Bookman Old Style" w:hAnsi="Bookman Old Style"/>
        </w:rPr>
        <w:t xml:space="preserve">. </w:t>
      </w:r>
      <w:r w:rsidR="00633168">
        <w:rPr>
          <w:rFonts w:ascii="Bookman Old Style" w:hAnsi="Bookman Old Style"/>
        </w:rPr>
        <w:t>Perguntam-lhe, por isso, a si, se é capaz de tranquiliz</w:t>
      </w:r>
      <w:r w:rsidR="00322F81">
        <w:rPr>
          <w:rFonts w:ascii="Bookman Old Style" w:hAnsi="Bookman Old Style"/>
        </w:rPr>
        <w:t>á</w:t>
      </w:r>
      <w:r w:rsidR="00633168">
        <w:rPr>
          <w:rFonts w:ascii="Bookman Old Style" w:hAnsi="Bookman Old Style"/>
        </w:rPr>
        <w:t>-los.</w:t>
      </w:r>
    </w:p>
    <w:p w:rsidR="00166F27" w:rsidRDefault="00166F27" w:rsidP="00166F27">
      <w:pPr>
        <w:spacing w:after="0" w:line="360" w:lineRule="auto"/>
        <w:jc w:val="both"/>
        <w:rPr>
          <w:rFonts w:ascii="Bookman Old Style" w:hAnsi="Bookman Old Style"/>
        </w:rPr>
      </w:pPr>
    </w:p>
    <w:p w:rsidR="00166F27" w:rsidRPr="00166F27" w:rsidRDefault="00166F27" w:rsidP="00166F27">
      <w:pPr>
        <w:spacing w:after="0" w:line="360" w:lineRule="auto"/>
        <w:jc w:val="center"/>
        <w:rPr>
          <w:rFonts w:ascii="Bookman Old Style" w:hAnsi="Bookman Old Style"/>
          <w:b/>
        </w:rPr>
      </w:pPr>
      <w:r w:rsidRPr="00166F27">
        <w:rPr>
          <w:rFonts w:ascii="Bookman Old Style" w:hAnsi="Bookman Old Style"/>
          <w:b/>
        </w:rPr>
        <w:t>IV</w:t>
      </w:r>
    </w:p>
    <w:p w:rsidR="00166F27" w:rsidRDefault="00166F27" w:rsidP="00166F27">
      <w:pPr>
        <w:spacing w:after="0" w:line="360" w:lineRule="auto"/>
        <w:jc w:val="both"/>
        <w:rPr>
          <w:rFonts w:ascii="Bookman Old Style" w:hAnsi="Bookman Old Style"/>
        </w:rPr>
      </w:pPr>
      <w:r>
        <w:rPr>
          <w:rFonts w:ascii="Bookman Old Style" w:hAnsi="Bookman Old Style"/>
        </w:rPr>
        <w:tab/>
        <w:t>Nos termos do DL y/2012, de 1 de fevereiro, “</w:t>
      </w:r>
      <w:r w:rsidRPr="00166F27">
        <w:rPr>
          <w:rFonts w:ascii="Bookman Old Style" w:hAnsi="Bookman Old Style"/>
          <w:i/>
        </w:rPr>
        <w:t>os proprietários de bens imóveis não os poderão alienar antes de decorrido um ano sobre a data da respetiva aquisição</w:t>
      </w:r>
      <w:r>
        <w:rPr>
          <w:rFonts w:ascii="Bookman Old Style" w:hAnsi="Bookman Old Style"/>
        </w:rPr>
        <w:t>”.</w:t>
      </w:r>
    </w:p>
    <w:p w:rsidR="00166F27" w:rsidRDefault="00166F27" w:rsidP="00166F27">
      <w:pPr>
        <w:spacing w:after="0" w:line="360" w:lineRule="auto"/>
        <w:jc w:val="both"/>
        <w:rPr>
          <w:rFonts w:ascii="Bookman Old Style" w:hAnsi="Bookman Old Style"/>
        </w:rPr>
      </w:pPr>
      <w:r>
        <w:rPr>
          <w:rFonts w:ascii="Bookman Old Style" w:hAnsi="Bookman Old Style"/>
        </w:rPr>
        <w:tab/>
        <w:t>Semelhante exigência não existia, até aí, no Direito Português.</w:t>
      </w:r>
    </w:p>
    <w:p w:rsidR="00166F27" w:rsidRDefault="00166F27" w:rsidP="00166F27">
      <w:pPr>
        <w:spacing w:after="0" w:line="360" w:lineRule="auto"/>
        <w:jc w:val="both"/>
        <w:rPr>
          <w:rFonts w:ascii="Bookman Old Style" w:hAnsi="Bookman Old Style"/>
        </w:rPr>
      </w:pPr>
      <w:r>
        <w:rPr>
          <w:rFonts w:ascii="Bookman Old Style" w:hAnsi="Bookman Old Style"/>
        </w:rPr>
        <w:tab/>
        <w:t>EGAS comprou a BECAS, no passado dia 15 de janeiro do corrente ano, uma fração de prédio urbano, sita no Bombarral e pretende agora doá-la ao filho, POUPAS. Mas, tendo em conta o disposto no citado DL, não sabe se o poderá já fazer. Que lhe responderia?</w:t>
      </w:r>
    </w:p>
    <w:p w:rsidR="00166F27" w:rsidRDefault="00166F27" w:rsidP="00166F27">
      <w:pPr>
        <w:spacing w:after="0" w:line="360" w:lineRule="auto"/>
        <w:jc w:val="both"/>
        <w:rPr>
          <w:rFonts w:ascii="Bookman Old Style" w:hAnsi="Bookman Old Style"/>
        </w:rPr>
      </w:pPr>
    </w:p>
    <w:p w:rsidR="00166F27" w:rsidRDefault="00166F27" w:rsidP="00166F27">
      <w:pPr>
        <w:spacing w:after="0" w:line="360" w:lineRule="auto"/>
        <w:jc w:val="both"/>
        <w:rPr>
          <w:rFonts w:ascii="Bookman Old Style" w:hAnsi="Bookman Old Style"/>
        </w:rPr>
      </w:pPr>
      <w:r w:rsidRPr="00166F27">
        <w:rPr>
          <w:rFonts w:ascii="Bookman Old Style" w:hAnsi="Bookman Old Style"/>
          <w:b/>
        </w:rPr>
        <w:t xml:space="preserve">Variante – </w:t>
      </w:r>
      <w:r>
        <w:rPr>
          <w:rFonts w:ascii="Bookman Old Style" w:hAnsi="Bookman Old Style"/>
        </w:rPr>
        <w:t xml:space="preserve">Suponha que um DL z/2013, de 1 de maio, vinha alterar o DL y/2012, de 1 de fevereiro, </w:t>
      </w:r>
      <w:r w:rsidR="00EA6342">
        <w:rPr>
          <w:rFonts w:ascii="Bookman Old Style" w:hAnsi="Bookman Old Style"/>
        </w:rPr>
        <w:t xml:space="preserve">exigindo um prazo de dois anos para ser possível a alienação de bens imóveis. </w:t>
      </w:r>
      <w:r w:rsidR="003A4757">
        <w:rPr>
          <w:rFonts w:ascii="Bookman Old Style" w:hAnsi="Bookman Old Style"/>
        </w:rPr>
        <w:t>Pode EGAS doar a BECAS</w:t>
      </w:r>
      <w:r>
        <w:rPr>
          <w:rFonts w:ascii="Bookman Old Style" w:hAnsi="Bookman Old Style"/>
        </w:rPr>
        <w:t xml:space="preserve"> a </w:t>
      </w:r>
      <w:proofErr w:type="spellStart"/>
      <w:r>
        <w:rPr>
          <w:rFonts w:ascii="Bookman Old Style" w:hAnsi="Bookman Old Style"/>
        </w:rPr>
        <w:t>fração</w:t>
      </w:r>
      <w:proofErr w:type="spellEnd"/>
      <w:r>
        <w:rPr>
          <w:rFonts w:ascii="Bookman Old Style" w:hAnsi="Bookman Old Style"/>
        </w:rPr>
        <w:t xml:space="preserve"> de prédio urbano de que é proprietário, a 2 de maio de 2013?</w:t>
      </w:r>
    </w:p>
    <w:p w:rsidR="00166F27" w:rsidRDefault="00166F27" w:rsidP="00166F27">
      <w:pPr>
        <w:spacing w:after="0" w:line="360" w:lineRule="auto"/>
        <w:jc w:val="both"/>
        <w:rPr>
          <w:rFonts w:ascii="Bookman Old Style" w:hAnsi="Bookman Old Style"/>
        </w:rPr>
      </w:pPr>
      <w:r>
        <w:rPr>
          <w:rFonts w:ascii="Bookman Old Style" w:hAnsi="Bookman Old Style"/>
        </w:rPr>
        <w:tab/>
        <w:t>Se não, quando o poderá fazer?</w:t>
      </w:r>
    </w:p>
    <w:p w:rsidR="00166F27" w:rsidRDefault="00166F27" w:rsidP="00166F27">
      <w:pPr>
        <w:spacing w:after="0" w:line="360" w:lineRule="auto"/>
        <w:jc w:val="both"/>
        <w:rPr>
          <w:rFonts w:ascii="Bookman Old Style" w:hAnsi="Bookman Old Style"/>
        </w:rPr>
      </w:pPr>
    </w:p>
    <w:p w:rsidR="00166F27" w:rsidRDefault="00166F27" w:rsidP="00166F27">
      <w:pPr>
        <w:spacing w:after="0" w:line="360" w:lineRule="auto"/>
        <w:jc w:val="both"/>
        <w:rPr>
          <w:rFonts w:ascii="Bookman Old Style" w:hAnsi="Bookman Old Style"/>
        </w:rPr>
      </w:pPr>
      <w:r w:rsidRPr="00166F27">
        <w:rPr>
          <w:rFonts w:ascii="Bookman Old Style" w:hAnsi="Bookman Old Style"/>
          <w:b/>
        </w:rPr>
        <w:t>Variante II</w:t>
      </w:r>
      <w:r>
        <w:rPr>
          <w:rFonts w:ascii="Bookman Old Style" w:hAnsi="Bookman Old Style"/>
        </w:rPr>
        <w:t xml:space="preserve"> – Suponha que o DL x/2012, dispunha, em vez do citado, o seguinte: “</w:t>
      </w:r>
      <w:r w:rsidRPr="00166F27">
        <w:rPr>
          <w:rFonts w:ascii="Bookman Old Style" w:hAnsi="Bookman Old Style"/>
          <w:i/>
        </w:rPr>
        <w:t xml:space="preserve">os proprietários de bens imóveis </w:t>
      </w:r>
      <w:r w:rsidR="003C52D5">
        <w:rPr>
          <w:rFonts w:ascii="Bookman Old Style" w:hAnsi="Bookman Old Style"/>
          <w:i/>
        </w:rPr>
        <w:t xml:space="preserve">adquiridos por usucapião </w:t>
      </w:r>
      <w:r w:rsidRPr="00166F27">
        <w:rPr>
          <w:rFonts w:ascii="Bookman Old Style" w:hAnsi="Bookman Old Style"/>
          <w:i/>
        </w:rPr>
        <w:t>não os poderão alienar antes de decorrido um ano sobre a data da respetiva aquisição</w:t>
      </w:r>
      <w:r>
        <w:rPr>
          <w:rFonts w:ascii="Bookman Old Style" w:hAnsi="Bookman Old Style"/>
        </w:rPr>
        <w:t>”.</w:t>
      </w:r>
    </w:p>
    <w:p w:rsidR="00166F27" w:rsidRDefault="00166F27" w:rsidP="00166F27">
      <w:pPr>
        <w:spacing w:after="0" w:line="360" w:lineRule="auto"/>
        <w:jc w:val="both"/>
        <w:rPr>
          <w:rFonts w:ascii="Bookman Old Style" w:hAnsi="Bookman Old Style"/>
          <w:i/>
        </w:rPr>
      </w:pPr>
      <w:r>
        <w:rPr>
          <w:rFonts w:ascii="Bookman Old Style" w:hAnsi="Bookman Old Style"/>
        </w:rPr>
        <w:tab/>
        <w:t>BENTO adquiriu, por usucapião, em dezembro de 2011, a propriedade de um terreno cuja posse tinha desde 1990. Poderá hoje (março de 2012) vendê-lo a CAETANA?</w:t>
      </w:r>
    </w:p>
    <w:p w:rsidR="00166F27" w:rsidRDefault="00166F27" w:rsidP="00166F27">
      <w:pPr>
        <w:spacing w:after="0" w:line="360" w:lineRule="auto"/>
        <w:jc w:val="both"/>
        <w:rPr>
          <w:rFonts w:ascii="Bookman Old Style" w:hAnsi="Bookman Old Style"/>
        </w:rPr>
      </w:pPr>
    </w:p>
    <w:p w:rsidR="00166F27" w:rsidRPr="003C52D5" w:rsidRDefault="00166F27" w:rsidP="00166F27">
      <w:pPr>
        <w:spacing w:after="0" w:line="360" w:lineRule="auto"/>
        <w:jc w:val="center"/>
        <w:rPr>
          <w:rFonts w:ascii="Bookman Old Style" w:hAnsi="Bookman Old Style"/>
          <w:b/>
        </w:rPr>
      </w:pPr>
      <w:r w:rsidRPr="003C52D5">
        <w:rPr>
          <w:rFonts w:ascii="Bookman Old Style" w:hAnsi="Bookman Old Style"/>
          <w:b/>
        </w:rPr>
        <w:t>V</w:t>
      </w:r>
    </w:p>
    <w:p w:rsidR="00166F27" w:rsidRDefault="00166F27" w:rsidP="00322F81">
      <w:pPr>
        <w:spacing w:after="0" w:line="360" w:lineRule="auto"/>
        <w:ind w:firstLine="708"/>
        <w:jc w:val="both"/>
        <w:rPr>
          <w:rFonts w:ascii="Bookman Old Style" w:hAnsi="Bookman Old Style"/>
        </w:rPr>
      </w:pPr>
      <w:r>
        <w:rPr>
          <w:rFonts w:ascii="Bookman Old Style" w:hAnsi="Bookman Old Style"/>
        </w:rPr>
        <w:t xml:space="preserve">Imagine que a L1, publicada a 11 de junho de 2004, veio estabelecer </w:t>
      </w:r>
      <w:proofErr w:type="gramStart"/>
      <w:r>
        <w:rPr>
          <w:rFonts w:ascii="Bookman Old Style" w:hAnsi="Bookman Old Style"/>
        </w:rPr>
        <w:t>que</w:t>
      </w:r>
      <w:proofErr w:type="gramEnd"/>
      <w:r>
        <w:rPr>
          <w:rFonts w:ascii="Bookman Old Style" w:hAnsi="Bookman Old Style"/>
        </w:rPr>
        <w:t>: “</w:t>
      </w:r>
      <w:r w:rsidRPr="006B423A">
        <w:rPr>
          <w:rFonts w:ascii="Bookman Old Style" w:hAnsi="Bookman Old Style"/>
          <w:i/>
        </w:rPr>
        <w:t>caso as partes no contrato de mútuo não estabeleçam a taxa de juro, está será de 5%</w:t>
      </w:r>
      <w:r>
        <w:rPr>
          <w:rFonts w:ascii="Bookman Old Style" w:hAnsi="Bookman Old Style"/>
        </w:rPr>
        <w:t xml:space="preserve">”. </w:t>
      </w:r>
    </w:p>
    <w:p w:rsidR="009A321F" w:rsidRPr="00322F81" w:rsidRDefault="00166F27" w:rsidP="00322F81">
      <w:pPr>
        <w:spacing w:after="0" w:line="360" w:lineRule="auto"/>
        <w:ind w:firstLine="708"/>
        <w:jc w:val="both"/>
        <w:rPr>
          <w:rFonts w:ascii="Bookman Old Style" w:hAnsi="Bookman Old Style"/>
          <w:i/>
        </w:rPr>
      </w:pPr>
      <w:r>
        <w:rPr>
          <w:rFonts w:ascii="Bookman Old Style" w:hAnsi="Bookman Old Style"/>
        </w:rPr>
        <w:t>A 22 de dezembro</w:t>
      </w:r>
      <w:r w:rsidR="009A321F">
        <w:rPr>
          <w:rFonts w:ascii="Bookman Old Style" w:hAnsi="Bookman Old Style"/>
        </w:rPr>
        <w:t xml:space="preserve"> de 2008, entra em vigor uma L2</w:t>
      </w:r>
      <w:r>
        <w:rPr>
          <w:rFonts w:ascii="Bookman Old Style" w:hAnsi="Bookman Old Style"/>
        </w:rPr>
        <w:t>, a qual vem determinar que “</w:t>
      </w:r>
      <w:r w:rsidRPr="009A321F">
        <w:rPr>
          <w:rFonts w:ascii="Bookman Old Style" w:hAnsi="Bookman Old Style"/>
          <w:i/>
        </w:rPr>
        <w:t>caso as partes no contrato de mútuo não estabeleçam a taxa de juro, esta será de 8%”.</w:t>
      </w:r>
    </w:p>
    <w:p w:rsidR="009A321F" w:rsidRDefault="009A321F" w:rsidP="00166F27">
      <w:pPr>
        <w:spacing w:after="0" w:line="360" w:lineRule="auto"/>
        <w:ind w:firstLine="708"/>
        <w:jc w:val="both"/>
        <w:rPr>
          <w:rFonts w:ascii="Bookman Old Style" w:hAnsi="Bookman Old Style"/>
        </w:rPr>
      </w:pPr>
      <w:r>
        <w:rPr>
          <w:rFonts w:ascii="Bookman Old Style" w:hAnsi="Bookman Old Style"/>
        </w:rPr>
        <w:t xml:space="preserve">A celebrou com B um contrato de mútuo a 3 de março de 2003. Qual a taxa de juro que deve ser paga por A </w:t>
      </w:r>
      <w:proofErr w:type="spellStart"/>
      <w:r>
        <w:rPr>
          <w:rFonts w:ascii="Bookman Old Style" w:hAnsi="Bookman Old Style"/>
        </w:rPr>
        <w:t>a</w:t>
      </w:r>
      <w:proofErr w:type="spellEnd"/>
      <w:r>
        <w:rPr>
          <w:rFonts w:ascii="Bookman Old Style" w:hAnsi="Bookman Old Style"/>
        </w:rPr>
        <w:t xml:space="preserve"> B?</w:t>
      </w:r>
    </w:p>
    <w:p w:rsidR="009A321F" w:rsidRDefault="009A321F" w:rsidP="00166F27">
      <w:pPr>
        <w:spacing w:after="0" w:line="360" w:lineRule="auto"/>
        <w:ind w:firstLine="708"/>
        <w:jc w:val="both"/>
        <w:rPr>
          <w:rFonts w:ascii="Bookman Old Style" w:hAnsi="Bookman Old Style"/>
        </w:rPr>
      </w:pPr>
    </w:p>
    <w:p w:rsidR="009A321F" w:rsidRPr="00636945" w:rsidRDefault="006B423A" w:rsidP="006B423A">
      <w:pPr>
        <w:spacing w:after="0" w:line="360" w:lineRule="auto"/>
        <w:ind w:firstLine="708"/>
        <w:jc w:val="center"/>
        <w:rPr>
          <w:rFonts w:ascii="Bookman Old Style" w:hAnsi="Bookman Old Style"/>
          <w:b/>
        </w:rPr>
      </w:pPr>
      <w:r w:rsidRPr="00636945">
        <w:rPr>
          <w:rFonts w:ascii="Bookman Old Style" w:hAnsi="Bookman Old Style"/>
          <w:b/>
        </w:rPr>
        <w:t>VI</w:t>
      </w:r>
    </w:p>
    <w:p w:rsidR="00AD7919" w:rsidRDefault="00636945" w:rsidP="006B423A">
      <w:pPr>
        <w:spacing w:after="0" w:line="360" w:lineRule="auto"/>
        <w:ind w:firstLine="708"/>
        <w:jc w:val="both"/>
        <w:rPr>
          <w:rFonts w:ascii="Bookman Old Style" w:hAnsi="Bookman Old Style"/>
        </w:rPr>
      </w:pPr>
      <w:r>
        <w:rPr>
          <w:rFonts w:ascii="Bookman Old Style" w:hAnsi="Bookman Old Style"/>
        </w:rPr>
        <w:t xml:space="preserve">O DL n. </w:t>
      </w:r>
      <w:proofErr w:type="gramStart"/>
      <w:r>
        <w:rPr>
          <w:rFonts w:ascii="Bookman Old Style" w:hAnsi="Bookman Old Style"/>
        </w:rPr>
        <w:t>x</w:t>
      </w:r>
      <w:proofErr w:type="gramEnd"/>
      <w:r>
        <w:rPr>
          <w:rFonts w:ascii="Bookman Old Style" w:hAnsi="Bookman Old Style"/>
        </w:rPr>
        <w:t xml:space="preserve">/2000, de 1 de janeiro, </w:t>
      </w:r>
      <w:r w:rsidR="00CB59F9">
        <w:rPr>
          <w:rFonts w:ascii="Bookman Old Style" w:hAnsi="Bookman Old Style"/>
        </w:rPr>
        <w:t>veio alterar o Código do Trabalh</w:t>
      </w:r>
      <w:r w:rsidR="00AD7919">
        <w:rPr>
          <w:rFonts w:ascii="Bookman Old Style" w:hAnsi="Bookman Old Style"/>
        </w:rPr>
        <w:t>o, introduzindo os seguintes preceitos: “</w:t>
      </w:r>
      <w:proofErr w:type="gramStart"/>
      <w:r w:rsidR="00AD7919" w:rsidRPr="00AD7919">
        <w:rPr>
          <w:rFonts w:ascii="Bookman Old Style" w:hAnsi="Bookman Old Style"/>
          <w:i/>
        </w:rPr>
        <w:t>(i</w:t>
      </w:r>
      <w:proofErr w:type="gramEnd"/>
      <w:r w:rsidR="00AD7919" w:rsidRPr="00AD7919">
        <w:rPr>
          <w:rFonts w:ascii="Bookman Old Style" w:hAnsi="Bookman Old Style"/>
          <w:i/>
        </w:rPr>
        <w:t>) o empregador deve garantir a realização de testes médicos a todos os trabalhadores da empresa, com frequência anual. (ii) é obrigatória a contratação, por parte do empregador, de um seguro de acidentes de trabal</w:t>
      </w:r>
      <w:r w:rsidR="003A4757">
        <w:rPr>
          <w:rFonts w:ascii="Bookman Old Style" w:hAnsi="Bookman Old Style"/>
          <w:i/>
        </w:rPr>
        <w:t>ho</w:t>
      </w:r>
      <w:r w:rsidR="00AD7919" w:rsidRPr="00AD7919">
        <w:rPr>
          <w:rFonts w:ascii="Bookman Old Style" w:hAnsi="Bookman Old Style"/>
          <w:i/>
        </w:rPr>
        <w:t xml:space="preserve"> que cubra os riscos dos trabalhadores</w:t>
      </w:r>
      <w:r w:rsidR="00AD7919">
        <w:rPr>
          <w:rFonts w:ascii="Bookman Old Style" w:hAnsi="Bookman Old Style"/>
        </w:rPr>
        <w:t>”.</w:t>
      </w:r>
    </w:p>
    <w:p w:rsidR="006B423A" w:rsidRDefault="00AD7919" w:rsidP="006B423A">
      <w:pPr>
        <w:spacing w:after="0" w:line="360" w:lineRule="auto"/>
        <w:ind w:firstLine="708"/>
        <w:jc w:val="both"/>
        <w:rPr>
          <w:rFonts w:ascii="Bookman Old Style" w:hAnsi="Bookman Old Style"/>
        </w:rPr>
      </w:pPr>
      <w:r>
        <w:rPr>
          <w:rFonts w:ascii="Bookman Old Style" w:hAnsi="Bookman Old Style"/>
        </w:rPr>
        <w:t>Até à data não existiam tais exigências.</w:t>
      </w:r>
    </w:p>
    <w:p w:rsidR="00AD7919" w:rsidRDefault="00AD7919" w:rsidP="006B423A">
      <w:pPr>
        <w:spacing w:after="0" w:line="360" w:lineRule="auto"/>
        <w:ind w:firstLine="708"/>
        <w:jc w:val="both"/>
        <w:rPr>
          <w:rFonts w:ascii="Bookman Old Style" w:hAnsi="Bookman Old Style"/>
        </w:rPr>
      </w:pPr>
      <w:r>
        <w:rPr>
          <w:rFonts w:ascii="Bookman Old Style" w:hAnsi="Bookman Old Style"/>
        </w:rPr>
        <w:t xml:space="preserve">Neste sentido, a sociedade “Tudo ao molho e fé em Deus, Lda.” que tem no seu quadro de pessoal 20 trabalhadores, o último dos quais contratado em janeiro de 1999, pretende saber se a nova lei se aplica apenas aos trabalhadores que venham a ser admitidos a partir do seu início de vigência, ou também aos que já fazem parte do quadro. </w:t>
      </w:r>
      <w:proofErr w:type="spellStart"/>
      <w:r w:rsidRPr="00AD7919">
        <w:rPr>
          <w:rFonts w:ascii="Bookman Old Style" w:hAnsi="Bookman Old Style"/>
          <w:i/>
        </w:rPr>
        <w:t>Quid</w:t>
      </w:r>
      <w:proofErr w:type="spellEnd"/>
      <w:r w:rsidRPr="00AD7919">
        <w:rPr>
          <w:rFonts w:ascii="Bookman Old Style" w:hAnsi="Bookman Old Style"/>
          <w:i/>
        </w:rPr>
        <w:t xml:space="preserve"> </w:t>
      </w:r>
      <w:proofErr w:type="spellStart"/>
      <w:r w:rsidRPr="00AD7919">
        <w:rPr>
          <w:rFonts w:ascii="Bookman Old Style" w:hAnsi="Bookman Old Style"/>
          <w:i/>
        </w:rPr>
        <w:t>iuris</w:t>
      </w:r>
      <w:proofErr w:type="spellEnd"/>
      <w:r w:rsidRPr="00AD7919">
        <w:rPr>
          <w:rFonts w:ascii="Bookman Old Style" w:hAnsi="Bookman Old Style"/>
          <w:i/>
        </w:rPr>
        <w:t>?</w:t>
      </w:r>
    </w:p>
    <w:p w:rsidR="00AD7919" w:rsidRDefault="00AD7919" w:rsidP="006B423A">
      <w:pPr>
        <w:spacing w:after="0" w:line="360" w:lineRule="auto"/>
        <w:ind w:firstLine="708"/>
        <w:jc w:val="both"/>
        <w:rPr>
          <w:rFonts w:ascii="Bookman Old Style" w:hAnsi="Bookman Old Style"/>
        </w:rPr>
      </w:pPr>
    </w:p>
    <w:p w:rsidR="00AD7919" w:rsidRPr="00AD7919" w:rsidRDefault="00AD7919" w:rsidP="00AD7919">
      <w:pPr>
        <w:spacing w:after="0" w:line="360" w:lineRule="auto"/>
        <w:ind w:firstLine="708"/>
        <w:jc w:val="center"/>
        <w:rPr>
          <w:rFonts w:ascii="Bookman Old Style" w:hAnsi="Bookman Old Style"/>
          <w:b/>
        </w:rPr>
      </w:pPr>
      <w:r w:rsidRPr="00AD7919">
        <w:rPr>
          <w:rFonts w:ascii="Bookman Old Style" w:hAnsi="Bookman Old Style"/>
          <w:b/>
        </w:rPr>
        <w:t>VII</w:t>
      </w:r>
    </w:p>
    <w:p w:rsidR="001A69FA" w:rsidRDefault="001A69FA" w:rsidP="00AD7919">
      <w:pPr>
        <w:spacing w:after="0" w:line="360" w:lineRule="auto"/>
        <w:ind w:firstLine="708"/>
        <w:jc w:val="both"/>
        <w:rPr>
          <w:rFonts w:ascii="Bookman Old Style" w:hAnsi="Bookman Old Style"/>
        </w:rPr>
      </w:pPr>
      <w:r>
        <w:rPr>
          <w:rFonts w:ascii="Bookman Old Style" w:hAnsi="Bookman Old Style"/>
        </w:rPr>
        <w:t xml:space="preserve"> Nos termos d</w:t>
      </w:r>
      <w:r w:rsidR="003A4757">
        <w:rPr>
          <w:rFonts w:ascii="Bookman Old Style" w:hAnsi="Bookman Old Style"/>
        </w:rPr>
        <w:t>o artigo 20.º da</w:t>
      </w:r>
      <w:r>
        <w:rPr>
          <w:rFonts w:ascii="Bookman Old Style" w:hAnsi="Bookman Old Style"/>
        </w:rPr>
        <w:t xml:space="preserve"> Lei</w:t>
      </w:r>
      <w:r w:rsidR="003A4757">
        <w:rPr>
          <w:rFonts w:ascii="Bookman Old Style" w:hAnsi="Bookman Old Style"/>
        </w:rPr>
        <w:t xml:space="preserve"> n.º</w:t>
      </w:r>
      <w:r>
        <w:rPr>
          <w:rFonts w:ascii="Bookman Old Style" w:hAnsi="Bookman Old Style"/>
        </w:rPr>
        <w:t xml:space="preserve"> 1</w:t>
      </w:r>
      <w:r w:rsidR="003A4757">
        <w:rPr>
          <w:rFonts w:ascii="Bookman Old Style" w:hAnsi="Bookman Old Style"/>
        </w:rPr>
        <w:t>/1976,</w:t>
      </w:r>
      <w:r w:rsidR="002630DB">
        <w:rPr>
          <w:rFonts w:ascii="Bookman Old Style" w:hAnsi="Bookman Old Style"/>
        </w:rPr>
        <w:t xml:space="preserve"> de 1 de </w:t>
      </w:r>
      <w:proofErr w:type="spellStart"/>
      <w:r w:rsidR="002630DB">
        <w:rPr>
          <w:rFonts w:ascii="Bookman Old Style" w:hAnsi="Bookman Old Style"/>
        </w:rPr>
        <w:t>janeiro</w:t>
      </w:r>
      <w:proofErr w:type="spellEnd"/>
      <w:r w:rsidR="002630DB">
        <w:rPr>
          <w:rFonts w:ascii="Bookman Old Style" w:hAnsi="Bookman Old Style"/>
        </w:rPr>
        <w:t>: “</w:t>
      </w:r>
      <w:proofErr w:type="gramStart"/>
      <w:r w:rsidR="002630DB" w:rsidRPr="002630DB">
        <w:rPr>
          <w:rFonts w:ascii="Bookman Old Style" w:hAnsi="Bookman Old Style"/>
          <w:i/>
        </w:rPr>
        <w:t>(i</w:t>
      </w:r>
      <w:proofErr w:type="gramEnd"/>
      <w:r w:rsidR="002630DB" w:rsidRPr="002630DB">
        <w:rPr>
          <w:rFonts w:ascii="Bookman Old Style" w:hAnsi="Bookman Old Style"/>
          <w:i/>
        </w:rPr>
        <w:t xml:space="preserve">) os cônjuges estão reciprocamente vinculados pelos deveres de respeito, fidelidade, coabitação, cooperação e assistência; (ii) a violação culposa de qualquer destes </w:t>
      </w:r>
      <w:r w:rsidR="002630DB" w:rsidRPr="002630DB">
        <w:rPr>
          <w:rFonts w:ascii="Bookman Old Style" w:hAnsi="Bookman Old Style"/>
          <w:i/>
        </w:rPr>
        <w:lastRenderedPageBreak/>
        <w:t>deveres, por parte de um cônjuge, constitui fundamento de divórcio litigioso, a requerer pelo outro cônjuge</w:t>
      </w:r>
      <w:r w:rsidR="002630DB">
        <w:rPr>
          <w:rFonts w:ascii="Bookman Old Style" w:hAnsi="Bookman Old Style"/>
        </w:rPr>
        <w:t>”.</w:t>
      </w:r>
    </w:p>
    <w:p w:rsidR="003A4757" w:rsidRDefault="003A4757" w:rsidP="00AD7919">
      <w:pPr>
        <w:spacing w:after="0" w:line="360" w:lineRule="auto"/>
        <w:ind w:firstLine="708"/>
        <w:jc w:val="both"/>
        <w:rPr>
          <w:rFonts w:ascii="Bookman Old Style" w:hAnsi="Bookman Old Style"/>
        </w:rPr>
      </w:pPr>
      <w:r>
        <w:rPr>
          <w:rFonts w:ascii="Bookman Old Style" w:hAnsi="Bookman Old Style"/>
        </w:rPr>
        <w:t>Suponha que</w:t>
      </w:r>
      <w:r w:rsidR="002630DB">
        <w:rPr>
          <w:rFonts w:ascii="Bookman Old Style" w:hAnsi="Bookman Old Style"/>
        </w:rPr>
        <w:t xml:space="preserve"> </w:t>
      </w:r>
      <w:r>
        <w:rPr>
          <w:rFonts w:ascii="Bookman Old Style" w:hAnsi="Bookman Old Style"/>
        </w:rPr>
        <w:t xml:space="preserve">a Lei n.º 2/2012, de </w:t>
      </w:r>
      <w:r w:rsidR="002630DB">
        <w:rPr>
          <w:rFonts w:ascii="Bookman Old Style" w:hAnsi="Bookman Old Style"/>
        </w:rPr>
        <w:t xml:space="preserve">1 de </w:t>
      </w:r>
      <w:proofErr w:type="spellStart"/>
      <w:r w:rsidR="002630DB">
        <w:rPr>
          <w:rFonts w:ascii="Bookman Old Style" w:hAnsi="Bookman Old Style"/>
        </w:rPr>
        <w:t>janeiro</w:t>
      </w:r>
      <w:proofErr w:type="spellEnd"/>
      <w:r w:rsidR="002630DB">
        <w:rPr>
          <w:rFonts w:ascii="Bookman Old Style" w:hAnsi="Bookman Old Style"/>
        </w:rPr>
        <w:t xml:space="preserve"> de 2012 </w:t>
      </w:r>
      <w:r>
        <w:rPr>
          <w:rFonts w:ascii="Bookman Old Style" w:hAnsi="Bookman Old Style"/>
        </w:rPr>
        <w:t xml:space="preserve">vem alterar o artigo 20.º da Lei n.º 1/1966, de 1 </w:t>
      </w:r>
      <w:proofErr w:type="spellStart"/>
      <w:r>
        <w:rPr>
          <w:rFonts w:ascii="Bookman Old Style" w:hAnsi="Bookman Old Style"/>
        </w:rPr>
        <w:t>janeiro</w:t>
      </w:r>
      <w:proofErr w:type="spellEnd"/>
      <w:r>
        <w:rPr>
          <w:rFonts w:ascii="Bookman Old Style" w:hAnsi="Bookman Old Style"/>
        </w:rPr>
        <w:t xml:space="preserve">, dando-lhe a seguinte </w:t>
      </w:r>
      <w:proofErr w:type="spellStart"/>
      <w:r>
        <w:rPr>
          <w:rFonts w:ascii="Bookman Old Style" w:hAnsi="Bookman Old Style"/>
        </w:rPr>
        <w:t>redação</w:t>
      </w:r>
      <w:proofErr w:type="spellEnd"/>
      <w:r>
        <w:rPr>
          <w:rFonts w:ascii="Bookman Old Style" w:hAnsi="Bookman Old Style"/>
        </w:rPr>
        <w:t xml:space="preserve">: </w:t>
      </w:r>
    </w:p>
    <w:p w:rsidR="002630DB" w:rsidRDefault="003A4757" w:rsidP="00AD7919">
      <w:pPr>
        <w:spacing w:after="0" w:line="360" w:lineRule="auto"/>
        <w:ind w:firstLine="708"/>
        <w:jc w:val="both"/>
        <w:rPr>
          <w:rFonts w:ascii="Bookman Old Style" w:hAnsi="Bookman Old Style"/>
        </w:rPr>
      </w:pPr>
      <w:proofErr w:type="gramStart"/>
      <w:r>
        <w:rPr>
          <w:rFonts w:ascii="Bookman Old Style" w:hAnsi="Bookman Old Style"/>
        </w:rPr>
        <w:t>“</w:t>
      </w:r>
      <w:r w:rsidRPr="002630DB">
        <w:rPr>
          <w:rFonts w:ascii="Bookman Old Style" w:hAnsi="Bookman Old Style"/>
          <w:i/>
        </w:rPr>
        <w:t>(i</w:t>
      </w:r>
      <w:proofErr w:type="gramEnd"/>
      <w:r w:rsidRPr="002630DB">
        <w:rPr>
          <w:rFonts w:ascii="Bookman Old Style" w:hAnsi="Bookman Old Style"/>
          <w:i/>
        </w:rPr>
        <w:t>) os cônjuges estão reciprocamente vinculados pelos deveres de respeito, coabitação, cooperação e assistência; (ii) a violação culposa de qualquer destes deveres, por parte de um cônjuge, constitui fundamento de divórcio litigioso, a requerer pelo outro cônjuge</w:t>
      </w:r>
      <w:r>
        <w:rPr>
          <w:rFonts w:ascii="Bookman Old Style" w:hAnsi="Bookman Old Style"/>
          <w:i/>
        </w:rPr>
        <w:t>.</w:t>
      </w:r>
      <w:r>
        <w:rPr>
          <w:rFonts w:ascii="Bookman Old Style" w:hAnsi="Bookman Old Style"/>
        </w:rPr>
        <w:t>”</w:t>
      </w:r>
    </w:p>
    <w:p w:rsidR="002630DB" w:rsidRDefault="002630DB" w:rsidP="002630DB">
      <w:pPr>
        <w:spacing w:after="0" w:line="360" w:lineRule="auto"/>
        <w:ind w:firstLine="708"/>
        <w:jc w:val="both"/>
        <w:rPr>
          <w:rFonts w:ascii="Bookman Old Style" w:hAnsi="Bookman Old Style"/>
        </w:rPr>
      </w:pPr>
      <w:r>
        <w:rPr>
          <w:rFonts w:ascii="Bookman Old Style" w:hAnsi="Bookman Old Style"/>
        </w:rPr>
        <w:t xml:space="preserve">MARÍLIA e </w:t>
      </w:r>
      <w:r w:rsidR="003A4757">
        <w:rPr>
          <w:rFonts w:ascii="Bookman Old Style" w:hAnsi="Bookman Old Style"/>
        </w:rPr>
        <w:t>BOCAGE, muito apaixonados,</w:t>
      </w:r>
      <w:r>
        <w:rPr>
          <w:rFonts w:ascii="Bookman Old Style" w:hAnsi="Bookman Old Style"/>
        </w:rPr>
        <w:t xml:space="preserve"> casaram em </w:t>
      </w:r>
      <w:r w:rsidR="003A4757">
        <w:rPr>
          <w:rFonts w:ascii="Bookman Old Style" w:hAnsi="Bookman Old Style"/>
        </w:rPr>
        <w:t>Setúbal</w:t>
      </w:r>
      <w:r w:rsidR="001F705C">
        <w:rPr>
          <w:rFonts w:ascii="Bookman Old Style" w:hAnsi="Bookman Old Style"/>
        </w:rPr>
        <w:t xml:space="preserve"> </w:t>
      </w:r>
      <w:r>
        <w:rPr>
          <w:rFonts w:ascii="Bookman Old Style" w:hAnsi="Bookman Old Style"/>
        </w:rPr>
        <w:t xml:space="preserve">no dia 25 de </w:t>
      </w:r>
      <w:proofErr w:type="spellStart"/>
      <w:r>
        <w:rPr>
          <w:rFonts w:ascii="Bookman Old Style" w:hAnsi="Bookman Old Style"/>
        </w:rPr>
        <w:t>abril</w:t>
      </w:r>
      <w:proofErr w:type="spellEnd"/>
      <w:r>
        <w:rPr>
          <w:rFonts w:ascii="Bookman Old Style" w:hAnsi="Bookman Old Style"/>
        </w:rPr>
        <w:t xml:space="preserve"> de 2010.</w:t>
      </w:r>
    </w:p>
    <w:p w:rsidR="002630DB" w:rsidRDefault="003A4757" w:rsidP="003A4757">
      <w:pPr>
        <w:spacing w:after="0" w:line="360" w:lineRule="auto"/>
        <w:ind w:firstLine="708"/>
        <w:jc w:val="both"/>
        <w:rPr>
          <w:rFonts w:ascii="Bookman Old Style" w:hAnsi="Bookman Old Style"/>
        </w:rPr>
      </w:pPr>
      <w:r>
        <w:rPr>
          <w:rFonts w:ascii="Bookman Old Style" w:hAnsi="Bookman Old Style"/>
        </w:rPr>
        <w:t xml:space="preserve">Porém, BOCAGE tem um coração enorme onde cabe sempre mais alguém… e em </w:t>
      </w:r>
      <w:proofErr w:type="spellStart"/>
      <w:r>
        <w:rPr>
          <w:rFonts w:ascii="Bookman Old Style" w:hAnsi="Bookman Old Style"/>
        </w:rPr>
        <w:t>março</w:t>
      </w:r>
      <w:proofErr w:type="spellEnd"/>
      <w:r>
        <w:rPr>
          <w:rFonts w:ascii="Bookman Old Style" w:hAnsi="Bookman Old Style"/>
        </w:rPr>
        <w:t xml:space="preserve"> de 2012 </w:t>
      </w:r>
      <w:r w:rsidR="002630DB">
        <w:rPr>
          <w:rFonts w:ascii="Bookman Old Style" w:hAnsi="Bookman Old Style"/>
        </w:rPr>
        <w:t xml:space="preserve">iniciou uma relação adulterina com OLGA, embora não pretenda divorciar-se de </w:t>
      </w:r>
      <w:r>
        <w:rPr>
          <w:rFonts w:ascii="Bookman Old Style" w:hAnsi="Bookman Old Style"/>
        </w:rPr>
        <w:t>MARÍLIA</w:t>
      </w:r>
      <w:r w:rsidR="00A02345">
        <w:rPr>
          <w:rFonts w:ascii="Bookman Old Style" w:hAnsi="Bookman Old Style"/>
        </w:rPr>
        <w:t xml:space="preserve"> a quem ainda ama muito!</w:t>
      </w:r>
    </w:p>
    <w:p w:rsidR="002630DB" w:rsidRDefault="002630DB" w:rsidP="002630DB">
      <w:pPr>
        <w:spacing w:after="0" w:line="360" w:lineRule="auto"/>
        <w:ind w:firstLine="708"/>
        <w:jc w:val="both"/>
        <w:rPr>
          <w:rFonts w:ascii="Bookman Old Style" w:hAnsi="Bookman Old Style"/>
        </w:rPr>
      </w:pPr>
      <w:r>
        <w:rPr>
          <w:rFonts w:ascii="Bookman Old Style" w:hAnsi="Bookman Old Style"/>
        </w:rPr>
        <w:t>MARÍLIA descobriu tudo</w:t>
      </w:r>
      <w:r w:rsidR="003A4757">
        <w:rPr>
          <w:rFonts w:ascii="Bookman Old Style" w:hAnsi="Bookman Old Style"/>
        </w:rPr>
        <w:t xml:space="preserve"> este ano</w:t>
      </w:r>
      <w:r>
        <w:rPr>
          <w:rFonts w:ascii="Bookman Old Style" w:hAnsi="Bookman Old Style"/>
        </w:rPr>
        <w:t xml:space="preserve"> e pretende </w:t>
      </w:r>
      <w:r>
        <w:rPr>
          <w:rFonts w:ascii="Bookman Old Style" w:hAnsi="Bookman Old Style"/>
        </w:rPr>
        <w:br/>
      </w:r>
      <w:proofErr w:type="gramStart"/>
      <w:r>
        <w:rPr>
          <w:rFonts w:ascii="Bookman Old Style" w:hAnsi="Bookman Old Style"/>
        </w:rPr>
        <w:t>divorciar-se</w:t>
      </w:r>
      <w:proofErr w:type="gramEnd"/>
      <w:r>
        <w:rPr>
          <w:rFonts w:ascii="Bookman Old Style" w:hAnsi="Bookman Old Style"/>
        </w:rPr>
        <w:t xml:space="preserve"> de </w:t>
      </w:r>
      <w:r w:rsidR="003A4757">
        <w:rPr>
          <w:rFonts w:ascii="Bookman Old Style" w:hAnsi="Bookman Old Style"/>
        </w:rPr>
        <w:t>BOCAGE</w:t>
      </w:r>
      <w:r>
        <w:rPr>
          <w:rFonts w:ascii="Bookman Old Style" w:hAnsi="Bookman Old Style"/>
        </w:rPr>
        <w:t xml:space="preserve">; mas este afirma que não lhe assiste tal </w:t>
      </w:r>
      <w:r w:rsidR="00A02345">
        <w:rPr>
          <w:rFonts w:ascii="Bookman Old Style" w:hAnsi="Bookman Old Style"/>
        </w:rPr>
        <w:br/>
      </w:r>
      <w:proofErr w:type="gramStart"/>
      <w:r>
        <w:rPr>
          <w:rFonts w:ascii="Bookman Old Style" w:hAnsi="Bookman Old Style"/>
        </w:rPr>
        <w:t>direito</w:t>
      </w:r>
      <w:proofErr w:type="gramEnd"/>
      <w:r>
        <w:rPr>
          <w:rFonts w:ascii="Bookman Old Style" w:hAnsi="Bookman Old Style"/>
        </w:rPr>
        <w:t xml:space="preserve">. </w:t>
      </w:r>
      <w:proofErr w:type="spellStart"/>
      <w:r w:rsidR="00A02345">
        <w:rPr>
          <w:rFonts w:ascii="Bookman Old Style" w:hAnsi="Bookman Old Style"/>
          <w:i/>
        </w:rPr>
        <w:t>Quid</w:t>
      </w:r>
      <w:proofErr w:type="spellEnd"/>
      <w:r w:rsidR="00A02345">
        <w:rPr>
          <w:rFonts w:ascii="Bookman Old Style" w:hAnsi="Bookman Old Style"/>
          <w:i/>
        </w:rPr>
        <w:t xml:space="preserve"> </w:t>
      </w:r>
      <w:proofErr w:type="spellStart"/>
      <w:r w:rsidR="00A02345">
        <w:rPr>
          <w:rFonts w:ascii="Bookman Old Style" w:hAnsi="Bookman Old Style"/>
          <w:i/>
        </w:rPr>
        <w:t>iuris</w:t>
      </w:r>
      <w:proofErr w:type="spellEnd"/>
      <w:r w:rsidR="00A02345">
        <w:rPr>
          <w:rFonts w:ascii="Bookman Old Style" w:hAnsi="Bookman Old Style"/>
          <w:i/>
        </w:rPr>
        <w:t>?</w:t>
      </w:r>
    </w:p>
    <w:p w:rsidR="001A69FA" w:rsidRDefault="001A69FA" w:rsidP="00AD7919">
      <w:pPr>
        <w:spacing w:after="0" w:line="360" w:lineRule="auto"/>
        <w:ind w:firstLine="708"/>
        <w:jc w:val="both"/>
        <w:rPr>
          <w:rFonts w:ascii="Bookman Old Style" w:hAnsi="Bookman Old Style"/>
        </w:rPr>
      </w:pPr>
    </w:p>
    <w:p w:rsidR="001F705C" w:rsidRPr="00845E2B" w:rsidRDefault="001F705C" w:rsidP="00845E2B">
      <w:pPr>
        <w:spacing w:after="0" w:line="360" w:lineRule="auto"/>
        <w:ind w:firstLine="708"/>
        <w:jc w:val="both"/>
        <w:rPr>
          <w:rFonts w:ascii="Bookman Old Style" w:hAnsi="Bookman Old Style"/>
        </w:rPr>
      </w:pPr>
      <w:bookmarkStart w:id="0" w:name="_GoBack"/>
      <w:bookmarkEnd w:id="0"/>
    </w:p>
    <w:sectPr w:rsidR="001F705C" w:rsidRPr="00845E2B" w:rsidSect="007476E8">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1C0" w:rsidRDefault="00A801C0">
      <w:pPr>
        <w:spacing w:after="0" w:line="240" w:lineRule="auto"/>
      </w:pPr>
      <w:r>
        <w:separator/>
      </w:r>
    </w:p>
  </w:endnote>
  <w:endnote w:type="continuationSeparator" w:id="0">
    <w:p w:rsidR="00A801C0" w:rsidRDefault="00A80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9661"/>
      <w:docPartObj>
        <w:docPartGallery w:val="Page Numbers (Bottom of Page)"/>
        <w:docPartUnique/>
      </w:docPartObj>
    </w:sdtPr>
    <w:sdtEndPr/>
    <w:sdtContent>
      <w:p w:rsidR="002630DB" w:rsidRDefault="002150E0">
        <w:pPr>
          <w:pStyle w:val="Rodap"/>
          <w:jc w:val="center"/>
        </w:pPr>
        <w:r w:rsidRPr="00646F05">
          <w:rPr>
            <w:rFonts w:ascii="Bookman Old Style" w:hAnsi="Bookman Old Style"/>
          </w:rPr>
          <w:fldChar w:fldCharType="begin"/>
        </w:r>
        <w:r w:rsidR="002630DB" w:rsidRPr="00646F05">
          <w:rPr>
            <w:rFonts w:ascii="Bookman Old Style" w:hAnsi="Bookman Old Style"/>
          </w:rPr>
          <w:instrText xml:space="preserve"> PAGE   \* MERGEFORMAT </w:instrText>
        </w:r>
        <w:r w:rsidRPr="00646F05">
          <w:rPr>
            <w:rFonts w:ascii="Bookman Old Style" w:hAnsi="Bookman Old Style"/>
          </w:rPr>
          <w:fldChar w:fldCharType="separate"/>
        </w:r>
        <w:r w:rsidR="00DF6BFE">
          <w:rPr>
            <w:rFonts w:ascii="Bookman Old Style" w:hAnsi="Bookman Old Style"/>
            <w:noProof/>
          </w:rPr>
          <w:t>4</w:t>
        </w:r>
        <w:r w:rsidRPr="00646F05">
          <w:rPr>
            <w:rFonts w:ascii="Bookman Old Style" w:hAnsi="Bookman Old Style"/>
          </w:rPr>
          <w:fldChar w:fldCharType="end"/>
        </w:r>
      </w:p>
    </w:sdtContent>
  </w:sdt>
  <w:p w:rsidR="002630DB" w:rsidRDefault="002630DB" w:rsidP="003C52D5">
    <w:pPr>
      <w:pStyle w:val="Rodap"/>
      <w:pBdr>
        <w:bottom w:val="single" w:sz="4" w:space="1" w:color="auto"/>
      </w:pBdr>
      <w:tabs>
        <w:tab w:val="clear" w:pos="4252"/>
        <w:tab w:val="clear" w:pos="8504"/>
        <w:tab w:val="left" w:pos="5126"/>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1C0" w:rsidRDefault="00A801C0">
      <w:pPr>
        <w:spacing w:after="0" w:line="240" w:lineRule="auto"/>
      </w:pPr>
      <w:r>
        <w:separator/>
      </w:r>
    </w:p>
  </w:footnote>
  <w:footnote w:type="continuationSeparator" w:id="0">
    <w:p w:rsidR="00A801C0" w:rsidRDefault="00A801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0DB" w:rsidRPr="003C52D5" w:rsidRDefault="002630DB" w:rsidP="003C52D5">
    <w:pPr>
      <w:pStyle w:val="Cabealho"/>
      <w:pBdr>
        <w:bottom w:val="single" w:sz="4" w:space="1" w:color="auto"/>
      </w:pBdr>
      <w:jc w:val="center"/>
      <w:rPr>
        <w:rFonts w:ascii="Bookman Old Style" w:hAnsi="Bookman Old Style"/>
        <w:i/>
      </w:rPr>
    </w:pPr>
    <w:r>
      <w:rPr>
        <w:rFonts w:ascii="Bookman Old Style" w:hAnsi="Bookman Old Style"/>
        <w:i/>
      </w:rPr>
      <w:t>Casos Práticos de Introdução ao Estudo do Direito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23B3B"/>
    <w:multiLevelType w:val="hybridMultilevel"/>
    <w:tmpl w:val="6BD2D61C"/>
    <w:lvl w:ilvl="0" w:tplc="1848DC98">
      <w:start w:val="1"/>
      <w:numFmt w:val="lowerLetter"/>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1">
    <w:nsid w:val="521F36E3"/>
    <w:multiLevelType w:val="hybridMultilevel"/>
    <w:tmpl w:val="C06C6558"/>
    <w:lvl w:ilvl="0" w:tplc="31642F08">
      <w:start w:val="1"/>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5B743E18"/>
    <w:multiLevelType w:val="hybridMultilevel"/>
    <w:tmpl w:val="92008DC4"/>
    <w:lvl w:ilvl="0" w:tplc="08160017">
      <w:start w:val="1"/>
      <w:numFmt w:val="lowerLetter"/>
      <w:lvlText w:val="%1)"/>
      <w:lvlJc w:val="left"/>
      <w:pPr>
        <w:ind w:left="1776" w:hanging="360"/>
      </w:pPr>
      <w:rPr>
        <w:rFonts w:hint="default"/>
      </w:rPr>
    </w:lvl>
    <w:lvl w:ilvl="1" w:tplc="08160019" w:tentative="1">
      <w:start w:val="1"/>
      <w:numFmt w:val="lowerLetter"/>
      <w:lvlText w:val="%2."/>
      <w:lvlJc w:val="left"/>
      <w:pPr>
        <w:ind w:left="2496" w:hanging="360"/>
      </w:pPr>
    </w:lvl>
    <w:lvl w:ilvl="2" w:tplc="0816001B" w:tentative="1">
      <w:start w:val="1"/>
      <w:numFmt w:val="lowerRoman"/>
      <w:lvlText w:val="%3."/>
      <w:lvlJc w:val="right"/>
      <w:pPr>
        <w:ind w:left="3216" w:hanging="180"/>
      </w:pPr>
    </w:lvl>
    <w:lvl w:ilvl="3" w:tplc="0816000F" w:tentative="1">
      <w:start w:val="1"/>
      <w:numFmt w:val="decimal"/>
      <w:lvlText w:val="%4."/>
      <w:lvlJc w:val="left"/>
      <w:pPr>
        <w:ind w:left="3936" w:hanging="360"/>
      </w:pPr>
    </w:lvl>
    <w:lvl w:ilvl="4" w:tplc="08160019" w:tentative="1">
      <w:start w:val="1"/>
      <w:numFmt w:val="lowerLetter"/>
      <w:lvlText w:val="%5."/>
      <w:lvlJc w:val="left"/>
      <w:pPr>
        <w:ind w:left="4656" w:hanging="360"/>
      </w:pPr>
    </w:lvl>
    <w:lvl w:ilvl="5" w:tplc="0816001B" w:tentative="1">
      <w:start w:val="1"/>
      <w:numFmt w:val="lowerRoman"/>
      <w:lvlText w:val="%6."/>
      <w:lvlJc w:val="right"/>
      <w:pPr>
        <w:ind w:left="5376" w:hanging="180"/>
      </w:pPr>
    </w:lvl>
    <w:lvl w:ilvl="6" w:tplc="0816000F" w:tentative="1">
      <w:start w:val="1"/>
      <w:numFmt w:val="decimal"/>
      <w:lvlText w:val="%7."/>
      <w:lvlJc w:val="left"/>
      <w:pPr>
        <w:ind w:left="6096" w:hanging="360"/>
      </w:pPr>
    </w:lvl>
    <w:lvl w:ilvl="7" w:tplc="08160019" w:tentative="1">
      <w:start w:val="1"/>
      <w:numFmt w:val="lowerLetter"/>
      <w:lvlText w:val="%8."/>
      <w:lvlJc w:val="left"/>
      <w:pPr>
        <w:ind w:left="6816" w:hanging="360"/>
      </w:pPr>
    </w:lvl>
    <w:lvl w:ilvl="8" w:tplc="0816001B" w:tentative="1">
      <w:start w:val="1"/>
      <w:numFmt w:val="lowerRoman"/>
      <w:lvlText w:val="%9."/>
      <w:lvlJc w:val="right"/>
      <w:pPr>
        <w:ind w:left="753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33245"/>
    <w:rsid w:val="00076084"/>
    <w:rsid w:val="00133F84"/>
    <w:rsid w:val="001658CD"/>
    <w:rsid w:val="00166F27"/>
    <w:rsid w:val="001A69FA"/>
    <w:rsid w:val="001F705C"/>
    <w:rsid w:val="002150E0"/>
    <w:rsid w:val="002630DB"/>
    <w:rsid w:val="00322F81"/>
    <w:rsid w:val="003A4757"/>
    <w:rsid w:val="003B1481"/>
    <w:rsid w:val="003C52D5"/>
    <w:rsid w:val="004D152E"/>
    <w:rsid w:val="004E439E"/>
    <w:rsid w:val="00584835"/>
    <w:rsid w:val="0062598A"/>
    <w:rsid w:val="00633168"/>
    <w:rsid w:val="00636945"/>
    <w:rsid w:val="006B423A"/>
    <w:rsid w:val="00713444"/>
    <w:rsid w:val="007476E8"/>
    <w:rsid w:val="007B75EB"/>
    <w:rsid w:val="00824E52"/>
    <w:rsid w:val="00845E2B"/>
    <w:rsid w:val="0087575F"/>
    <w:rsid w:val="00933245"/>
    <w:rsid w:val="0098135C"/>
    <w:rsid w:val="00993E46"/>
    <w:rsid w:val="009A321F"/>
    <w:rsid w:val="00A02345"/>
    <w:rsid w:val="00A801C0"/>
    <w:rsid w:val="00AD7919"/>
    <w:rsid w:val="00B32FDD"/>
    <w:rsid w:val="00CB59F9"/>
    <w:rsid w:val="00CE0EB6"/>
    <w:rsid w:val="00D41B8F"/>
    <w:rsid w:val="00DF6BFE"/>
    <w:rsid w:val="00EA6342"/>
    <w:rsid w:val="00EC57D0"/>
    <w:rsid w:val="00ED35F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245"/>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arcter"/>
    <w:uiPriority w:val="99"/>
    <w:unhideWhenUsed/>
    <w:rsid w:val="00933245"/>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933245"/>
  </w:style>
  <w:style w:type="paragraph" w:styleId="Textodenotaderodap">
    <w:name w:val="footnote text"/>
    <w:basedOn w:val="Normal"/>
    <w:link w:val="TextodenotaderodapCarcter"/>
    <w:uiPriority w:val="99"/>
    <w:semiHidden/>
    <w:unhideWhenUsed/>
    <w:rsid w:val="00166F27"/>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166F27"/>
    <w:rPr>
      <w:sz w:val="20"/>
      <w:szCs w:val="20"/>
    </w:rPr>
  </w:style>
  <w:style w:type="character" w:styleId="Refdenotaderodap">
    <w:name w:val="footnote reference"/>
    <w:basedOn w:val="Tipodeletrapredefinidodopargrafo"/>
    <w:uiPriority w:val="99"/>
    <w:semiHidden/>
    <w:unhideWhenUsed/>
    <w:rsid w:val="00166F27"/>
    <w:rPr>
      <w:vertAlign w:val="superscript"/>
    </w:rPr>
  </w:style>
  <w:style w:type="paragraph" w:styleId="PargrafodaLista">
    <w:name w:val="List Paragraph"/>
    <w:basedOn w:val="Normal"/>
    <w:uiPriority w:val="34"/>
    <w:qFormat/>
    <w:rsid w:val="00166F27"/>
    <w:pPr>
      <w:ind w:left="720"/>
      <w:contextualSpacing/>
    </w:pPr>
  </w:style>
  <w:style w:type="paragraph" w:styleId="Cabealho">
    <w:name w:val="header"/>
    <w:basedOn w:val="Normal"/>
    <w:link w:val="CabealhoCarcter"/>
    <w:uiPriority w:val="99"/>
    <w:semiHidden/>
    <w:unhideWhenUsed/>
    <w:rsid w:val="003C52D5"/>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3C52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AF545-F02F-41A6-BE2F-CDAC4E290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4</Pages>
  <Words>1007</Words>
  <Characters>5439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Utilizador</dc:creator>
  <cp:keywords/>
  <dc:description/>
  <cp:lastModifiedBy>Ricardo Bernardes</cp:lastModifiedBy>
  <cp:revision>17</cp:revision>
  <dcterms:created xsi:type="dcterms:W3CDTF">2012-03-22T13:41:00Z</dcterms:created>
  <dcterms:modified xsi:type="dcterms:W3CDTF">2013-03-20T17:30:00Z</dcterms:modified>
</cp:coreProperties>
</file>