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45" w:rsidRDefault="00933245" w:rsidP="00933245">
      <w:pPr>
        <w:spacing w:after="0" w:line="360" w:lineRule="auto"/>
        <w:jc w:val="center"/>
        <w:rPr>
          <w:rFonts w:ascii="Bookman Old Style" w:hAnsi="Bookman Old Style"/>
          <w:b/>
          <w:u w:val="single"/>
        </w:rPr>
      </w:pPr>
      <w:r>
        <w:rPr>
          <w:rFonts w:ascii="Bookman Old Style" w:hAnsi="Bookman Old Style"/>
          <w:b/>
          <w:u w:val="single"/>
        </w:rPr>
        <w:t>CASOS PRÁTICOS</w:t>
      </w:r>
    </w:p>
    <w:p w:rsidR="00933245" w:rsidRDefault="00933245" w:rsidP="00933245">
      <w:pPr>
        <w:spacing w:after="0" w:line="360" w:lineRule="auto"/>
        <w:jc w:val="center"/>
        <w:rPr>
          <w:rFonts w:ascii="Bookman Old Style" w:hAnsi="Bookman Old Style"/>
          <w:b/>
          <w:u w:val="single"/>
        </w:rPr>
      </w:pPr>
    </w:p>
    <w:p w:rsidR="00933245" w:rsidRDefault="00933245" w:rsidP="00933245">
      <w:pPr>
        <w:spacing w:after="0" w:line="360" w:lineRule="auto"/>
        <w:jc w:val="center"/>
        <w:rPr>
          <w:rFonts w:ascii="Bookman Old Style" w:hAnsi="Bookman Old Style"/>
          <w:b/>
          <w:u w:val="single"/>
        </w:rPr>
      </w:pPr>
      <w:r>
        <w:rPr>
          <w:rFonts w:ascii="Bookman Old Style" w:hAnsi="Bookman Old Style"/>
          <w:b/>
          <w:u w:val="single"/>
        </w:rPr>
        <w:t>Aplicação da Lei no Tempo</w:t>
      </w:r>
    </w:p>
    <w:p w:rsidR="00933245" w:rsidRDefault="00933245" w:rsidP="00933245">
      <w:pPr>
        <w:spacing w:after="0" w:line="360" w:lineRule="auto"/>
        <w:jc w:val="center"/>
        <w:rPr>
          <w:rFonts w:ascii="Bookman Old Style" w:hAnsi="Bookman Old Style"/>
          <w:b/>
          <w:u w:val="single"/>
        </w:rPr>
      </w:pPr>
    </w:p>
    <w:p w:rsidR="00166F27" w:rsidRDefault="00166F27" w:rsidP="00933245">
      <w:pPr>
        <w:spacing w:after="0" w:line="360" w:lineRule="auto"/>
        <w:jc w:val="center"/>
        <w:rPr>
          <w:rFonts w:ascii="Bookman Old Style" w:hAnsi="Bookman Old Style"/>
          <w:b/>
          <w:u w:val="single"/>
        </w:rPr>
      </w:pPr>
    </w:p>
    <w:p w:rsidR="00166F27" w:rsidRPr="00166F27" w:rsidRDefault="00166F27" w:rsidP="00166F27">
      <w:pPr>
        <w:spacing w:after="0" w:line="360" w:lineRule="auto"/>
        <w:jc w:val="both"/>
        <w:rPr>
          <w:rFonts w:ascii="Bookman Old Style" w:hAnsi="Bookman Old Style"/>
          <w:i/>
        </w:rPr>
      </w:pPr>
      <w:r w:rsidRPr="00166F27">
        <w:rPr>
          <w:rFonts w:ascii="Bookman Old Style" w:hAnsi="Bookman Old Style"/>
          <w:b/>
        </w:rPr>
        <w:t xml:space="preserve">NOTA </w:t>
      </w:r>
      <w:r>
        <w:rPr>
          <w:rFonts w:ascii="Bookman Old Style" w:hAnsi="Bookman Old Style"/>
        </w:rPr>
        <w:t xml:space="preserve">– </w:t>
      </w:r>
      <w:r w:rsidRPr="00166F27">
        <w:rPr>
          <w:rFonts w:ascii="Bookman Old Style" w:hAnsi="Bookman Old Style"/>
          <w:i/>
        </w:rPr>
        <w:t>Todos os diplomas citados nas presentes hipóteses são fictícios, exceto se do próprio enunciado da hipótese se depreender o contrário.</w:t>
      </w:r>
    </w:p>
    <w:p w:rsidR="00166F27" w:rsidRPr="00166F27" w:rsidRDefault="00166F27" w:rsidP="00166F27">
      <w:pPr>
        <w:spacing w:after="0" w:line="360" w:lineRule="auto"/>
        <w:jc w:val="both"/>
        <w:rPr>
          <w:rFonts w:ascii="Bookman Old Style" w:hAnsi="Bookman Old Style"/>
        </w:rPr>
      </w:pPr>
    </w:p>
    <w:p w:rsidR="00933245" w:rsidRDefault="00933245" w:rsidP="00CE0EB6">
      <w:pPr>
        <w:spacing w:after="0" w:line="360" w:lineRule="auto"/>
        <w:jc w:val="center"/>
        <w:rPr>
          <w:rFonts w:ascii="Bookman Old Style" w:hAnsi="Bookman Old Style"/>
          <w:b/>
        </w:rPr>
      </w:pPr>
      <w:r w:rsidRPr="00DA4CF6">
        <w:rPr>
          <w:rFonts w:ascii="Bookman Old Style" w:hAnsi="Bookman Old Style"/>
          <w:b/>
        </w:rPr>
        <w:t xml:space="preserve">§ </w:t>
      </w:r>
      <w:r>
        <w:rPr>
          <w:rFonts w:ascii="Bookman Old Style" w:hAnsi="Bookman Old Style"/>
          <w:b/>
        </w:rPr>
        <w:t>2</w:t>
      </w:r>
    </w:p>
    <w:p w:rsidR="00CE0EB6" w:rsidRPr="00CE0EB6" w:rsidRDefault="00CE0EB6" w:rsidP="00CE0EB6">
      <w:pPr>
        <w:spacing w:after="0" w:line="360" w:lineRule="auto"/>
        <w:jc w:val="center"/>
        <w:rPr>
          <w:rFonts w:ascii="Bookman Old Style" w:hAnsi="Bookman Old Style"/>
          <w:b/>
        </w:rPr>
      </w:pPr>
    </w:p>
    <w:p w:rsidR="00933245" w:rsidRPr="00B11897" w:rsidRDefault="00933245" w:rsidP="00933245">
      <w:pPr>
        <w:spacing w:after="0" w:line="360" w:lineRule="auto"/>
        <w:jc w:val="center"/>
        <w:rPr>
          <w:rFonts w:ascii="Bookman Old Style" w:hAnsi="Bookman Old Style"/>
          <w:b/>
        </w:rPr>
      </w:pPr>
      <w:r w:rsidRPr="00B11897">
        <w:rPr>
          <w:rFonts w:ascii="Bookman Old Style" w:hAnsi="Bookman Old Style"/>
          <w:b/>
        </w:rPr>
        <w:t>I</w:t>
      </w:r>
    </w:p>
    <w:p w:rsidR="00993E46" w:rsidRDefault="00993E46" w:rsidP="0062598A">
      <w:pPr>
        <w:spacing w:after="0" w:line="360" w:lineRule="auto"/>
        <w:ind w:firstLine="708"/>
        <w:jc w:val="both"/>
        <w:rPr>
          <w:rFonts w:ascii="Bookman Old Style" w:hAnsi="Bookman Old Style"/>
        </w:rPr>
      </w:pPr>
      <w:r>
        <w:rPr>
          <w:rFonts w:ascii="Bookman Old Style" w:hAnsi="Bookman Old Style"/>
        </w:rPr>
        <w:t>Suponha que a Lei X/2012, de 1 de janeiro, vem alterar o artigo 122.º do Código Civil dando-lhe a seguinte redação: “</w:t>
      </w:r>
      <w:r w:rsidRPr="003C52D5">
        <w:rPr>
          <w:rFonts w:ascii="Bookman Old Style" w:hAnsi="Bookman Old Style"/>
          <w:i/>
        </w:rPr>
        <w:t>é menor quem ainda não tiver completado 21 anos de idade</w:t>
      </w:r>
      <w:r>
        <w:rPr>
          <w:rFonts w:ascii="Bookman Old Style" w:hAnsi="Bookman Old Style"/>
        </w:rPr>
        <w:t>”.</w:t>
      </w:r>
    </w:p>
    <w:p w:rsidR="00993E46" w:rsidRDefault="00133F84" w:rsidP="00166F27">
      <w:pPr>
        <w:spacing w:after="0" w:line="360" w:lineRule="auto"/>
        <w:ind w:firstLine="708"/>
        <w:jc w:val="both"/>
        <w:rPr>
          <w:rFonts w:ascii="Bookman Old Style" w:hAnsi="Bookman Old Style"/>
        </w:rPr>
      </w:pPr>
      <w:r>
        <w:rPr>
          <w:rFonts w:ascii="Bookman Old Style" w:hAnsi="Bookman Old Style"/>
        </w:rPr>
        <w:t>DINAMENE</w:t>
      </w:r>
      <w:r w:rsidR="00993E46">
        <w:rPr>
          <w:rFonts w:ascii="Bookman Old Style" w:hAnsi="Bookman Old Style"/>
        </w:rPr>
        <w:t>, nascid</w:t>
      </w:r>
      <w:r>
        <w:rPr>
          <w:rFonts w:ascii="Bookman Old Style" w:hAnsi="Bookman Old Style"/>
        </w:rPr>
        <w:t>a</w:t>
      </w:r>
      <w:r w:rsidR="00993E46">
        <w:rPr>
          <w:rFonts w:ascii="Bookman Old Style" w:hAnsi="Bookman Old Style"/>
        </w:rPr>
        <w:t xml:space="preserve"> em Portugal</w:t>
      </w:r>
      <w:r>
        <w:rPr>
          <w:rFonts w:ascii="Bookman Old Style" w:hAnsi="Bookman Old Style"/>
        </w:rPr>
        <w:t xml:space="preserve"> 1993</w:t>
      </w:r>
      <w:r w:rsidR="00993E46">
        <w:rPr>
          <w:rFonts w:ascii="Bookman Old Style" w:hAnsi="Bookman Old Style"/>
        </w:rPr>
        <w:t>, completo</w:t>
      </w:r>
      <w:r w:rsidR="00713444">
        <w:rPr>
          <w:rFonts w:ascii="Bookman Old Style" w:hAnsi="Bookman Old Style"/>
        </w:rPr>
        <w:t>u</w:t>
      </w:r>
      <w:r w:rsidR="00993E46">
        <w:rPr>
          <w:rFonts w:ascii="Bookman Old Style" w:hAnsi="Bookman Old Style"/>
        </w:rPr>
        <w:t xml:space="preserve"> 18 anos em 1 de dezembro de 2011 e inscreveu-se na escola de condução “Sobre Rodas, </w:t>
      </w:r>
      <w:proofErr w:type="spellStart"/>
      <w:r w:rsidR="00993E46">
        <w:rPr>
          <w:rFonts w:ascii="Bookman Old Style" w:hAnsi="Bookman Old Style"/>
        </w:rPr>
        <w:t>Lda</w:t>
      </w:r>
      <w:proofErr w:type="spellEnd"/>
      <w:r w:rsidR="00993E46">
        <w:rPr>
          <w:rFonts w:ascii="Bookman Old Style" w:hAnsi="Bookman Old Style"/>
        </w:rPr>
        <w:t xml:space="preserve">”, para “tirar a carta” de ligeiros. </w:t>
      </w:r>
      <w:r w:rsidR="00713444">
        <w:rPr>
          <w:rFonts w:ascii="Bookman Old Style" w:hAnsi="Bookman Old Style"/>
        </w:rPr>
        <w:t xml:space="preserve">Em face do disposto na Lei X/2012 e tendo em conta outra legislação, nos termos da qual só poderão frequentar escolas de condução alunos maiores de idade, os responsáveis da “Sobre Rodas, </w:t>
      </w:r>
      <w:proofErr w:type="spellStart"/>
      <w:r w:rsidR="00713444">
        <w:rPr>
          <w:rFonts w:ascii="Bookman Old Style" w:hAnsi="Bookman Old Style"/>
        </w:rPr>
        <w:t>Lda</w:t>
      </w:r>
      <w:proofErr w:type="spellEnd"/>
      <w:r w:rsidR="00713444">
        <w:rPr>
          <w:rFonts w:ascii="Bookman Old Style" w:hAnsi="Bookman Old Style"/>
        </w:rPr>
        <w:t xml:space="preserve">” afirmam que </w:t>
      </w:r>
      <w:r>
        <w:rPr>
          <w:rFonts w:ascii="Bookman Old Style" w:hAnsi="Bookman Old Style"/>
        </w:rPr>
        <w:t>DINAMENE</w:t>
      </w:r>
      <w:r w:rsidR="00713444">
        <w:rPr>
          <w:rFonts w:ascii="Bookman Old Style" w:hAnsi="Bookman Old Style"/>
        </w:rPr>
        <w:t xml:space="preserve"> não pode prosseguir o “curso” (embora se disponham a devolver o dinheiro que já pagou). </w:t>
      </w:r>
      <w:proofErr w:type="spellStart"/>
      <w:r w:rsidR="00713444" w:rsidRPr="00713444">
        <w:rPr>
          <w:rFonts w:ascii="Bookman Old Style" w:hAnsi="Bookman Old Style"/>
          <w:i/>
        </w:rPr>
        <w:t>Quid</w:t>
      </w:r>
      <w:proofErr w:type="spellEnd"/>
      <w:r w:rsidR="00713444" w:rsidRPr="00713444">
        <w:rPr>
          <w:rFonts w:ascii="Bookman Old Style" w:hAnsi="Bookman Old Style"/>
          <w:i/>
        </w:rPr>
        <w:t xml:space="preserve"> </w:t>
      </w:r>
      <w:proofErr w:type="spellStart"/>
      <w:r w:rsidR="00713444" w:rsidRPr="00713444">
        <w:rPr>
          <w:rFonts w:ascii="Bookman Old Style" w:hAnsi="Bookman Old Style"/>
          <w:i/>
        </w:rPr>
        <w:t>iuris</w:t>
      </w:r>
      <w:proofErr w:type="spellEnd"/>
      <w:r w:rsidR="00713444" w:rsidRPr="00713444">
        <w:rPr>
          <w:rFonts w:ascii="Bookman Old Style" w:hAnsi="Bookman Old Style"/>
          <w:i/>
        </w:rPr>
        <w:t>?</w:t>
      </w:r>
    </w:p>
    <w:p w:rsidR="00166F27" w:rsidRPr="00AA6730" w:rsidRDefault="00166F27" w:rsidP="00CA7FDD">
      <w:pPr>
        <w:spacing w:after="0" w:line="360" w:lineRule="auto"/>
        <w:jc w:val="both"/>
        <w:rPr>
          <w:rFonts w:ascii="Bookman Old Style" w:hAnsi="Bookman Old Style"/>
          <w:i/>
        </w:rPr>
      </w:pPr>
    </w:p>
    <w:p w:rsidR="00CA7FDD" w:rsidRPr="00AA6730" w:rsidRDefault="00CA7FDD" w:rsidP="00AA6730">
      <w:pPr>
        <w:spacing w:after="0" w:line="360" w:lineRule="auto"/>
        <w:ind w:firstLine="708"/>
        <w:jc w:val="both"/>
        <w:rPr>
          <w:rFonts w:ascii="Bookman Old Style" w:hAnsi="Bookman Old Style"/>
          <w:i/>
          <w:color w:val="000F2E"/>
        </w:rPr>
      </w:pPr>
      <w:r w:rsidRPr="00AA6730">
        <w:rPr>
          <w:rFonts w:ascii="Bookman Old Style" w:hAnsi="Bookman Old Style"/>
          <w:i/>
          <w:color w:val="000F2E"/>
        </w:rPr>
        <w:t xml:space="preserve">Efeitos de um facto (neste caso, facto jurídico </w:t>
      </w:r>
      <w:proofErr w:type="spellStart"/>
      <w:r w:rsidRPr="00AA6730">
        <w:rPr>
          <w:rFonts w:ascii="Bookman Old Style" w:hAnsi="Bookman Old Style"/>
          <w:color w:val="000F2E"/>
        </w:rPr>
        <w:t>stricto</w:t>
      </w:r>
      <w:proofErr w:type="spellEnd"/>
      <w:r w:rsidRPr="00AA6730">
        <w:rPr>
          <w:rFonts w:ascii="Bookman Old Style" w:hAnsi="Bookman Old Style"/>
          <w:color w:val="000F2E"/>
        </w:rPr>
        <w:t xml:space="preserve"> </w:t>
      </w:r>
      <w:proofErr w:type="spellStart"/>
      <w:r w:rsidRPr="00AA6730">
        <w:rPr>
          <w:rFonts w:ascii="Bookman Old Style" w:hAnsi="Bookman Old Style"/>
          <w:color w:val="000F2E"/>
        </w:rPr>
        <w:t>sensu</w:t>
      </w:r>
      <w:proofErr w:type="spellEnd"/>
      <w:r w:rsidRPr="00AA6730">
        <w:rPr>
          <w:rFonts w:ascii="Bookman Old Style" w:hAnsi="Bookman Old Style"/>
          <w:i/>
          <w:color w:val="000F2E"/>
        </w:rPr>
        <w:t xml:space="preserve">: o decurso do tempo): </w:t>
      </w:r>
      <w:proofErr w:type="spellStart"/>
      <w:r w:rsidRPr="00AA6730">
        <w:rPr>
          <w:rFonts w:ascii="Bookman Old Style" w:hAnsi="Bookman Old Style"/>
          <w:i/>
          <w:color w:val="000F2E"/>
        </w:rPr>
        <w:t>art</w:t>
      </w:r>
      <w:proofErr w:type="spellEnd"/>
      <w:r w:rsidRPr="00AA6730">
        <w:rPr>
          <w:rFonts w:ascii="Bookman Old Style" w:hAnsi="Bookman Old Style"/>
          <w:i/>
          <w:color w:val="000F2E"/>
        </w:rPr>
        <w:t xml:space="preserve">. 12/2 1ª parte: </w:t>
      </w:r>
      <w:proofErr w:type="spellStart"/>
      <w:r w:rsidRPr="00AA6730">
        <w:rPr>
          <w:rFonts w:ascii="Bookman Old Style" w:hAnsi="Bookman Old Style"/>
          <w:i/>
          <w:color w:val="000F2E"/>
        </w:rPr>
        <w:t>sobrevigência</w:t>
      </w:r>
      <w:proofErr w:type="spellEnd"/>
      <w:r w:rsidRPr="00AA6730">
        <w:rPr>
          <w:rFonts w:ascii="Bookman Old Style" w:hAnsi="Bookman Old Style"/>
          <w:i/>
          <w:color w:val="000F2E"/>
        </w:rPr>
        <w:t xml:space="preserve"> da LA. Ou seja, à maioridade de D continua a aplicar-se a lei vigente no momento em que ela a adquiriu. D continua a ser maior.</w:t>
      </w:r>
    </w:p>
    <w:p w:rsidR="00CA7FDD" w:rsidRPr="00AA6730" w:rsidRDefault="00CA7FDD" w:rsidP="00AA6730">
      <w:pPr>
        <w:spacing w:after="0" w:line="360" w:lineRule="auto"/>
        <w:ind w:firstLine="708"/>
        <w:jc w:val="both"/>
        <w:rPr>
          <w:rFonts w:ascii="Bookman Old Style" w:hAnsi="Bookman Old Style"/>
          <w:i/>
          <w:color w:val="000F2E"/>
        </w:rPr>
      </w:pPr>
      <w:r w:rsidRPr="00AA6730">
        <w:rPr>
          <w:rFonts w:ascii="Bookman Old Style" w:hAnsi="Bookman Old Style"/>
          <w:i/>
          <w:color w:val="000F2E"/>
        </w:rPr>
        <w:t>Não era um problema de requisitos de validade substancial de um facto porque o que estava em causa era a lei sobre maioridade, não a lei que regia os requisitos a preencher para que se pudesse frequentar uma escola de condução.</w:t>
      </w:r>
    </w:p>
    <w:p w:rsidR="00166F27" w:rsidRPr="00166F27" w:rsidRDefault="00713444" w:rsidP="00166F27">
      <w:pPr>
        <w:spacing w:after="0" w:line="360" w:lineRule="auto"/>
        <w:jc w:val="center"/>
        <w:rPr>
          <w:rFonts w:ascii="Bookman Old Style" w:hAnsi="Bookman Old Style"/>
          <w:b/>
        </w:rPr>
      </w:pPr>
      <w:r w:rsidRPr="00166F27">
        <w:rPr>
          <w:rFonts w:ascii="Bookman Old Style" w:hAnsi="Bookman Old Style"/>
          <w:b/>
        </w:rPr>
        <w:t>II</w:t>
      </w:r>
    </w:p>
    <w:p w:rsidR="00166F27" w:rsidRDefault="00166F27" w:rsidP="00166F27">
      <w:pPr>
        <w:spacing w:after="0" w:line="360" w:lineRule="auto"/>
        <w:jc w:val="both"/>
        <w:rPr>
          <w:rFonts w:ascii="Bookman Old Style" w:hAnsi="Bookman Old Style"/>
        </w:rPr>
      </w:pPr>
      <w:r>
        <w:rPr>
          <w:rFonts w:ascii="Bookman Old Style" w:hAnsi="Bookman Old Style"/>
        </w:rPr>
        <w:tab/>
        <w:t xml:space="preserve">A Lei n.º x/2002, de 1 de janeiro vem prever </w:t>
      </w:r>
      <w:proofErr w:type="gramStart"/>
      <w:r>
        <w:rPr>
          <w:rFonts w:ascii="Bookman Old Style" w:hAnsi="Bookman Old Style"/>
        </w:rPr>
        <w:t>que</w:t>
      </w:r>
      <w:proofErr w:type="gramEnd"/>
      <w:r>
        <w:rPr>
          <w:rFonts w:ascii="Bookman Old Style" w:hAnsi="Bookman Old Style"/>
        </w:rPr>
        <w:t>: “</w:t>
      </w:r>
      <w:r w:rsidRPr="00166F27">
        <w:rPr>
          <w:rFonts w:ascii="Bookman Old Style" w:hAnsi="Bookman Old Style"/>
          <w:i/>
        </w:rPr>
        <w:t>o condutor que, culposamente</w:t>
      </w:r>
      <w:proofErr w:type="gramStart"/>
      <w:r w:rsidRPr="00166F27">
        <w:rPr>
          <w:rFonts w:ascii="Bookman Old Style" w:hAnsi="Bookman Old Style"/>
          <w:i/>
        </w:rPr>
        <w:t>,</w:t>
      </w:r>
      <w:proofErr w:type="gramEnd"/>
      <w:r w:rsidRPr="00166F27">
        <w:rPr>
          <w:rFonts w:ascii="Bookman Old Style" w:hAnsi="Bookman Old Style"/>
          <w:i/>
        </w:rPr>
        <w:t xml:space="preserve"> der causa a um acidente de viação, responde integralmente pelos danos causados</w:t>
      </w:r>
      <w:r>
        <w:rPr>
          <w:rFonts w:ascii="Bookman Old Style" w:hAnsi="Bookman Old Style"/>
        </w:rPr>
        <w:t>.”</w:t>
      </w:r>
    </w:p>
    <w:p w:rsidR="00166F27" w:rsidRDefault="00166F27" w:rsidP="00166F27">
      <w:pPr>
        <w:spacing w:after="0" w:line="360" w:lineRule="auto"/>
        <w:jc w:val="both"/>
        <w:rPr>
          <w:rFonts w:ascii="Bookman Old Style" w:hAnsi="Bookman Old Style"/>
        </w:rPr>
      </w:pPr>
      <w:r>
        <w:rPr>
          <w:rFonts w:ascii="Bookman Old Style" w:hAnsi="Bookman Old Style"/>
        </w:rPr>
        <w:tab/>
        <w:t xml:space="preserve">O Decreto-Lei n.º Y/2012, de 1 de janeiro, vem por seu turno, prever: </w:t>
      </w:r>
      <w:r w:rsidRPr="00166F27">
        <w:rPr>
          <w:rFonts w:ascii="Bookman Old Style" w:hAnsi="Bookman Old Style"/>
          <w:i/>
        </w:rPr>
        <w:t>“o condutor que, culposamente</w:t>
      </w:r>
      <w:proofErr w:type="gramStart"/>
      <w:r w:rsidRPr="00166F27">
        <w:rPr>
          <w:rFonts w:ascii="Bookman Old Style" w:hAnsi="Bookman Old Style"/>
          <w:i/>
        </w:rPr>
        <w:t>,</w:t>
      </w:r>
      <w:proofErr w:type="gramEnd"/>
      <w:r w:rsidRPr="00166F27">
        <w:rPr>
          <w:rFonts w:ascii="Bookman Old Style" w:hAnsi="Bookman Old Style"/>
          <w:i/>
        </w:rPr>
        <w:t xml:space="preserve"> der causa a um acidente de viação, responde </w:t>
      </w:r>
      <w:r w:rsidRPr="00166F27">
        <w:rPr>
          <w:rFonts w:ascii="Bookman Old Style" w:hAnsi="Bookman Old Style"/>
          <w:i/>
        </w:rPr>
        <w:lastRenderedPageBreak/>
        <w:t>integralmente pelos danos causados</w:t>
      </w:r>
      <w:r>
        <w:rPr>
          <w:rFonts w:ascii="Bookman Old Style" w:hAnsi="Bookman Old Style"/>
          <w:i/>
        </w:rPr>
        <w:t xml:space="preserve">, estando ainda </w:t>
      </w:r>
      <w:r w:rsidRPr="00166F27">
        <w:rPr>
          <w:rFonts w:ascii="Bookman Old Style" w:hAnsi="Bookman Old Style"/>
          <w:i/>
        </w:rPr>
        <w:t>obrigado a efetuar uma contribuição pecuniária para o Fundo de Garantia Automóvel</w:t>
      </w:r>
      <w:r>
        <w:rPr>
          <w:rFonts w:ascii="Bookman Old Style" w:hAnsi="Bookman Old Style"/>
        </w:rPr>
        <w:t>”.</w:t>
      </w:r>
    </w:p>
    <w:p w:rsidR="00166F27" w:rsidRDefault="00166F27" w:rsidP="00166F27">
      <w:pPr>
        <w:spacing w:after="0" w:line="360" w:lineRule="auto"/>
        <w:jc w:val="both"/>
        <w:rPr>
          <w:rFonts w:ascii="Bookman Old Style" w:hAnsi="Bookman Old Style"/>
        </w:rPr>
      </w:pPr>
      <w:r>
        <w:rPr>
          <w:rFonts w:ascii="Bookman Old Style" w:hAnsi="Bookman Old Style"/>
        </w:rPr>
        <w:tab/>
        <w:t xml:space="preserve">CACO ANTIBES tem por hábito falar ao telemóvel enquanto conduz. No passado 31 de dezembro de 2011, quando atravessava um cruzamento de uma rua de Lisboa ao volante do seu carro, distraído a falar ao telemóvel com a esposa, MAGDA, não se apercebeu de outro veículo que ia a passar e tinha prioridade naquela via, acabando por colidir com ele. </w:t>
      </w:r>
    </w:p>
    <w:p w:rsidR="00166F27" w:rsidRPr="00166F27" w:rsidRDefault="00166F27" w:rsidP="00166F27">
      <w:pPr>
        <w:spacing w:after="0" w:line="360" w:lineRule="auto"/>
        <w:jc w:val="both"/>
        <w:rPr>
          <w:rFonts w:ascii="Bookman Old Style" w:hAnsi="Bookman Old Style"/>
          <w:i/>
        </w:rPr>
      </w:pPr>
      <w:r>
        <w:rPr>
          <w:rFonts w:ascii="Bookman Old Style" w:hAnsi="Bookman Old Style"/>
        </w:rPr>
        <w:tab/>
        <w:t xml:space="preserve">O caso foi a tribunal. E hoje, CACO ANTIBES quer saber se deve apenas indemnizar VAVÁ (o condutor do outro carro) ou se também tem que contribuir para o fundo de garantia automóvel. </w:t>
      </w:r>
      <w:proofErr w:type="spellStart"/>
      <w:r w:rsidRPr="00166F27">
        <w:rPr>
          <w:rFonts w:ascii="Bookman Old Style" w:hAnsi="Bookman Old Style"/>
          <w:i/>
        </w:rPr>
        <w:t>Quid</w:t>
      </w:r>
      <w:proofErr w:type="spellEnd"/>
      <w:r w:rsidRPr="00166F27">
        <w:rPr>
          <w:rFonts w:ascii="Bookman Old Style" w:hAnsi="Bookman Old Style"/>
          <w:i/>
        </w:rPr>
        <w:t xml:space="preserve"> </w:t>
      </w:r>
      <w:proofErr w:type="spellStart"/>
      <w:r w:rsidRPr="00166F27">
        <w:rPr>
          <w:rFonts w:ascii="Bookman Old Style" w:hAnsi="Bookman Old Style"/>
          <w:i/>
        </w:rPr>
        <w:t>iuris</w:t>
      </w:r>
      <w:proofErr w:type="spellEnd"/>
      <w:r w:rsidRPr="00166F27">
        <w:rPr>
          <w:rFonts w:ascii="Bookman Old Style" w:hAnsi="Bookman Old Style"/>
          <w:i/>
        </w:rPr>
        <w:t>?</w:t>
      </w:r>
    </w:p>
    <w:p w:rsidR="00166F27" w:rsidRDefault="00166F27" w:rsidP="00166F27">
      <w:pPr>
        <w:spacing w:after="0" w:line="360" w:lineRule="auto"/>
        <w:jc w:val="both"/>
        <w:rPr>
          <w:rFonts w:ascii="Bookman Old Style" w:hAnsi="Bookman Old Style"/>
          <w:b/>
        </w:rPr>
      </w:pPr>
    </w:p>
    <w:p w:rsidR="00CA7FDD" w:rsidRPr="00AA6730" w:rsidRDefault="00CA7FDD" w:rsidP="00CA7FDD">
      <w:pPr>
        <w:spacing w:after="0" w:line="360" w:lineRule="auto"/>
        <w:ind w:firstLine="708"/>
        <w:jc w:val="both"/>
        <w:rPr>
          <w:rFonts w:ascii="Bookman Old Style" w:hAnsi="Bookman Old Style"/>
          <w:i/>
          <w:color w:val="000F2E"/>
        </w:rPr>
      </w:pPr>
      <w:r w:rsidRPr="00AA6730">
        <w:rPr>
          <w:rFonts w:ascii="Bookman Old Style" w:hAnsi="Bookman Old Style"/>
          <w:i/>
          <w:color w:val="000F2E"/>
        </w:rPr>
        <w:t xml:space="preserve">Efeitos de um facto: no caso concreto de um facto ilícito; para a LA esse facto tem apenas como efeito a formação de uma obrigação de indemnizar; na LN obrigação de indemnizar e de efetuar uma contribuição para um </w:t>
      </w:r>
      <w:r w:rsidR="00AA6730">
        <w:rPr>
          <w:rFonts w:ascii="Bookman Old Style" w:hAnsi="Bookman Old Style"/>
          <w:i/>
          <w:color w:val="000F2E"/>
        </w:rPr>
        <w:t>F</w:t>
      </w:r>
      <w:r w:rsidRPr="00AA6730">
        <w:rPr>
          <w:rFonts w:ascii="Bookman Old Style" w:hAnsi="Bookman Old Style"/>
          <w:i/>
          <w:color w:val="000F2E"/>
        </w:rPr>
        <w:t>undo. Aplica-se o artigo 12/2 1ª parte: LN só se aplica a factos novos e efeitos de factos novos, pelo que ao acidente de CACO ainda se aplica a Lei x/2002 e este deverá apenas indemnizar VAVÁ (</w:t>
      </w:r>
      <w:proofErr w:type="spellStart"/>
      <w:r w:rsidRPr="00AA6730">
        <w:rPr>
          <w:rFonts w:ascii="Bookman Old Style" w:hAnsi="Bookman Old Style"/>
          <w:i/>
          <w:color w:val="000F2E"/>
        </w:rPr>
        <w:t>sobrevigência</w:t>
      </w:r>
      <w:proofErr w:type="spellEnd"/>
      <w:r w:rsidRPr="00AA6730">
        <w:rPr>
          <w:rFonts w:ascii="Bookman Old Style" w:hAnsi="Bookman Old Style"/>
          <w:i/>
          <w:color w:val="000F2E"/>
        </w:rPr>
        <w:t xml:space="preserve"> da LA).</w:t>
      </w:r>
    </w:p>
    <w:p w:rsidR="00CA7FDD" w:rsidRPr="00AA6730" w:rsidRDefault="00CA7FDD" w:rsidP="00CA7FDD">
      <w:pPr>
        <w:spacing w:after="0" w:line="360" w:lineRule="auto"/>
        <w:ind w:firstLine="708"/>
        <w:jc w:val="both"/>
        <w:rPr>
          <w:rFonts w:ascii="Bookman Old Style" w:hAnsi="Bookman Old Style"/>
          <w:i/>
          <w:color w:val="000F2E"/>
        </w:rPr>
      </w:pPr>
      <w:r w:rsidRPr="00AA6730">
        <w:rPr>
          <w:rFonts w:ascii="Bookman Old Style" w:hAnsi="Bookman Old Style"/>
          <w:i/>
          <w:color w:val="000F2E"/>
        </w:rPr>
        <w:t xml:space="preserve">A solução é pacífica: se </w:t>
      </w:r>
      <w:proofErr w:type="spellStart"/>
      <w:r w:rsidRPr="00AA6730">
        <w:rPr>
          <w:rFonts w:ascii="Bookman Old Style" w:hAnsi="Bookman Old Style"/>
          <w:i/>
          <w:color w:val="000F2E"/>
        </w:rPr>
        <w:t>se</w:t>
      </w:r>
      <w:proofErr w:type="spellEnd"/>
      <w:r w:rsidRPr="00AA6730">
        <w:rPr>
          <w:rFonts w:ascii="Bookman Old Style" w:hAnsi="Bookman Old Style"/>
          <w:i/>
          <w:color w:val="000F2E"/>
        </w:rPr>
        <w:t xml:space="preserve"> está a dispor sobre as consequências de um facto, naturalmente que se está a valorar esse facto, pelo que nunca se poderá dizer que a LN “abstrai” dele ao fixar a sua disciplina jurídica.</w:t>
      </w:r>
    </w:p>
    <w:p w:rsidR="00CA7FDD" w:rsidRPr="00CA7FDD" w:rsidRDefault="00CA7FDD" w:rsidP="00166F27">
      <w:pPr>
        <w:spacing w:after="0" w:line="360" w:lineRule="auto"/>
        <w:jc w:val="both"/>
        <w:rPr>
          <w:rFonts w:ascii="Bookman Old Style" w:hAnsi="Bookman Old Style"/>
          <w:color w:val="002060"/>
        </w:rPr>
      </w:pPr>
    </w:p>
    <w:p w:rsidR="00166F27" w:rsidRPr="00166F27" w:rsidRDefault="00166F27" w:rsidP="00166F27">
      <w:pPr>
        <w:spacing w:after="0" w:line="360" w:lineRule="auto"/>
        <w:jc w:val="center"/>
        <w:rPr>
          <w:rFonts w:ascii="Bookman Old Style" w:hAnsi="Bookman Old Style"/>
          <w:b/>
        </w:rPr>
      </w:pPr>
      <w:r w:rsidRPr="00166F27">
        <w:rPr>
          <w:rFonts w:ascii="Bookman Old Style" w:hAnsi="Bookman Old Style"/>
          <w:b/>
        </w:rPr>
        <w:t>III</w:t>
      </w:r>
    </w:p>
    <w:p w:rsidR="004E439E" w:rsidRDefault="00166F27" w:rsidP="009A321F">
      <w:pPr>
        <w:spacing w:after="0" w:line="360" w:lineRule="auto"/>
        <w:jc w:val="both"/>
        <w:rPr>
          <w:rFonts w:ascii="Bookman Old Style" w:hAnsi="Bookman Old Style"/>
        </w:rPr>
      </w:pPr>
      <w:r>
        <w:rPr>
          <w:rFonts w:ascii="Bookman Old Style" w:hAnsi="Bookman Old Style"/>
        </w:rPr>
        <w:tab/>
      </w:r>
      <w:r w:rsidR="004E439E">
        <w:rPr>
          <w:rFonts w:ascii="Bookman Old Style" w:hAnsi="Bookman Old Style"/>
        </w:rPr>
        <w:t>Na sua versão original (de 1966), o artigo 1585.º do Código Civil dispunha: “</w:t>
      </w:r>
      <w:r w:rsidR="004E439E" w:rsidRPr="004E439E">
        <w:rPr>
          <w:rFonts w:ascii="Bookman Old Style" w:hAnsi="Bookman Old Style"/>
          <w:i/>
        </w:rPr>
        <w:t>a afinidade determina-se pelos mesmos graus e linhas que definem o parentesco e não cessa pela dissolução do casamento</w:t>
      </w:r>
      <w:r w:rsidR="004E439E">
        <w:rPr>
          <w:rFonts w:ascii="Bookman Old Style" w:hAnsi="Bookman Old Style"/>
        </w:rPr>
        <w:t>”.</w:t>
      </w:r>
    </w:p>
    <w:p w:rsidR="004E439E" w:rsidRDefault="004E439E" w:rsidP="009A321F">
      <w:pPr>
        <w:spacing w:after="0" w:line="360" w:lineRule="auto"/>
        <w:jc w:val="both"/>
        <w:rPr>
          <w:rFonts w:ascii="Bookman Old Style" w:hAnsi="Bookman Old Style"/>
        </w:rPr>
      </w:pPr>
      <w:r>
        <w:rPr>
          <w:rFonts w:ascii="Bookman Old Style" w:hAnsi="Bookman Old Style"/>
        </w:rPr>
        <w:tab/>
        <w:t>A Lei n.º x/2008, de 31 de outubro, que entrou em vigor a 30 de novembro desse mesmo ano, veio, no entanto, dar a seguinte nova redação a esse preceito: “</w:t>
      </w:r>
      <w:r w:rsidRPr="004E439E">
        <w:rPr>
          <w:rFonts w:ascii="Bookman Old Style" w:hAnsi="Bookman Old Style"/>
          <w:i/>
        </w:rPr>
        <w:t>a afinidade determina-se pelos mesmos graus e linhas que definem o parentesco e não cessa pela dissolução do casamento por morte</w:t>
      </w:r>
      <w:r>
        <w:rPr>
          <w:rFonts w:ascii="Bookman Old Style" w:hAnsi="Bookman Old Style"/>
        </w:rPr>
        <w:t>”.</w:t>
      </w:r>
    </w:p>
    <w:p w:rsidR="00633168" w:rsidRPr="00633168" w:rsidRDefault="004E439E" w:rsidP="009A321F">
      <w:pPr>
        <w:spacing w:after="0" w:line="360" w:lineRule="auto"/>
        <w:jc w:val="both"/>
        <w:rPr>
          <w:rFonts w:ascii="Bookman Old Style" w:hAnsi="Bookman Old Style"/>
        </w:rPr>
      </w:pPr>
      <w:r>
        <w:rPr>
          <w:rFonts w:ascii="Bookman Old Style" w:hAnsi="Bookman Old Style"/>
        </w:rPr>
        <w:tab/>
        <w:t xml:space="preserve">ROMEU casou com JULIETA em novembro de </w:t>
      </w:r>
      <w:r w:rsidR="00633168">
        <w:rPr>
          <w:rFonts w:ascii="Bookman Old Style" w:hAnsi="Bookman Old Style"/>
        </w:rPr>
        <w:t xml:space="preserve">2001, da qual se divorciou </w:t>
      </w:r>
      <w:r>
        <w:rPr>
          <w:rFonts w:ascii="Bookman Old Style" w:hAnsi="Bookman Old Style"/>
        </w:rPr>
        <w:t xml:space="preserve">dois anos depois. Ficou, no entanto, muito amigo da “sogra”, HELOÍSA, e no início de 2009, ambos começaram a namorar. Pretendem agora casar. Só que, tendo em conta a versão original do artigo </w:t>
      </w:r>
      <w:r w:rsidR="00633168">
        <w:rPr>
          <w:rFonts w:ascii="Bookman Old Style" w:hAnsi="Bookman Old Style"/>
        </w:rPr>
        <w:t xml:space="preserve">1585.º receiam ainda ser </w:t>
      </w:r>
      <w:r w:rsidR="00322F81">
        <w:rPr>
          <w:rFonts w:ascii="Bookman Old Style" w:hAnsi="Bookman Old Style"/>
        </w:rPr>
        <w:t>“</w:t>
      </w:r>
      <w:r w:rsidR="00633168">
        <w:rPr>
          <w:rFonts w:ascii="Bookman Old Style" w:hAnsi="Bookman Old Style"/>
        </w:rPr>
        <w:t>afins</w:t>
      </w:r>
      <w:r w:rsidR="00322F81">
        <w:rPr>
          <w:rFonts w:ascii="Bookman Old Style" w:hAnsi="Bookman Old Style"/>
        </w:rPr>
        <w:t>”</w:t>
      </w:r>
      <w:r w:rsidR="00633168">
        <w:rPr>
          <w:rFonts w:ascii="Bookman Old Style" w:hAnsi="Bookman Old Style"/>
        </w:rPr>
        <w:t xml:space="preserve">, </w:t>
      </w:r>
      <w:r>
        <w:rPr>
          <w:rFonts w:ascii="Bookman Old Style" w:hAnsi="Bookman Old Style"/>
        </w:rPr>
        <w:t>não podendo por isso casar-se, nos t</w:t>
      </w:r>
      <w:r w:rsidR="00633168">
        <w:rPr>
          <w:rFonts w:ascii="Bookman Old Style" w:hAnsi="Bookman Old Style"/>
        </w:rPr>
        <w:t>ermos do artigo 1602.º c) do CC</w:t>
      </w:r>
      <w:r>
        <w:rPr>
          <w:rFonts w:ascii="Bookman Old Style" w:hAnsi="Bookman Old Style"/>
        </w:rPr>
        <w:t xml:space="preserve">. </w:t>
      </w:r>
      <w:r w:rsidR="00633168">
        <w:rPr>
          <w:rFonts w:ascii="Bookman Old Style" w:hAnsi="Bookman Old Style"/>
        </w:rPr>
        <w:t>Perguntam-lhe, por isso, a si, se é capaz de tranquiliz</w:t>
      </w:r>
      <w:r w:rsidR="00322F81">
        <w:rPr>
          <w:rFonts w:ascii="Bookman Old Style" w:hAnsi="Bookman Old Style"/>
        </w:rPr>
        <w:t>á</w:t>
      </w:r>
      <w:r w:rsidR="00633168">
        <w:rPr>
          <w:rFonts w:ascii="Bookman Old Style" w:hAnsi="Bookman Old Style"/>
        </w:rPr>
        <w:t>-los.</w:t>
      </w:r>
    </w:p>
    <w:p w:rsidR="00166F27" w:rsidRDefault="00166F27" w:rsidP="00166F27">
      <w:pPr>
        <w:spacing w:after="0" w:line="360" w:lineRule="auto"/>
        <w:jc w:val="both"/>
        <w:rPr>
          <w:rFonts w:ascii="Bookman Old Style" w:hAnsi="Bookman Old Style"/>
        </w:rPr>
      </w:pPr>
    </w:p>
    <w:p w:rsidR="00CA7FDD" w:rsidRPr="00AA6730" w:rsidRDefault="008C7D11" w:rsidP="00AA6730">
      <w:pPr>
        <w:spacing w:after="0" w:line="360" w:lineRule="auto"/>
        <w:ind w:firstLine="708"/>
        <w:jc w:val="both"/>
        <w:rPr>
          <w:rFonts w:ascii="Bookman Old Style" w:hAnsi="Bookman Old Style"/>
          <w:i/>
          <w:color w:val="000F2E"/>
        </w:rPr>
      </w:pPr>
      <w:r>
        <w:rPr>
          <w:rFonts w:ascii="Bookman Old Style" w:hAnsi="Bookman Old Style"/>
          <w:i/>
          <w:color w:val="000F2E"/>
        </w:rPr>
        <w:lastRenderedPageBreak/>
        <w:t>Matéria: situações jurídico-familiares (</w:t>
      </w:r>
      <w:r w:rsidR="00CA7FDD" w:rsidRPr="00AA6730">
        <w:rPr>
          <w:rFonts w:ascii="Bookman Old Style" w:hAnsi="Bookman Old Style"/>
          <w:i/>
          <w:color w:val="000F2E"/>
        </w:rPr>
        <w:t>afinidade</w:t>
      </w:r>
      <w:r>
        <w:rPr>
          <w:rFonts w:ascii="Bookman Old Style" w:hAnsi="Bookman Old Style"/>
          <w:i/>
          <w:color w:val="000F2E"/>
        </w:rPr>
        <w:t>)</w:t>
      </w:r>
      <w:r w:rsidR="00CA7FDD" w:rsidRPr="00AA6730">
        <w:rPr>
          <w:rFonts w:ascii="Bookman Old Style" w:hAnsi="Bookman Old Style"/>
          <w:i/>
          <w:color w:val="000F2E"/>
        </w:rPr>
        <w:t>. É matéria típica do artigo 12/2 2ª parte. Está-se a dispor sobre o conteúdo de uma situação jurídica (a situação de afim), abstraindo do facto que lhe deu origem (o casamento), pelo que a LN é de aplicação imediata: logo, atualmente R e H já não são afins e podem casar.</w:t>
      </w:r>
    </w:p>
    <w:p w:rsidR="00CA7FDD" w:rsidRDefault="00CA7FDD" w:rsidP="00AA6730">
      <w:pPr>
        <w:spacing w:after="0" w:line="360" w:lineRule="auto"/>
        <w:ind w:firstLine="708"/>
        <w:jc w:val="both"/>
        <w:rPr>
          <w:rFonts w:ascii="Bookman Old Style" w:hAnsi="Bookman Old Style"/>
          <w:color w:val="000F2E"/>
        </w:rPr>
      </w:pPr>
      <w:r w:rsidRPr="00AA6730">
        <w:rPr>
          <w:rFonts w:ascii="Bookman Old Style" w:hAnsi="Bookman Old Style"/>
          <w:i/>
          <w:color w:val="000F2E"/>
        </w:rPr>
        <w:t xml:space="preserve">Deveria ainda fazer-se o “teste da </w:t>
      </w:r>
      <w:proofErr w:type="spellStart"/>
      <w:r w:rsidRPr="00AA6730">
        <w:rPr>
          <w:rFonts w:ascii="Bookman Old Style" w:hAnsi="Bookman Old Style"/>
          <w:i/>
          <w:color w:val="000F2E"/>
        </w:rPr>
        <w:t>revaloração</w:t>
      </w:r>
      <w:proofErr w:type="spellEnd"/>
      <w:r w:rsidRPr="00AA6730">
        <w:rPr>
          <w:rFonts w:ascii="Bookman Old Style" w:hAnsi="Bookman Old Style"/>
          <w:i/>
          <w:color w:val="000F2E"/>
        </w:rPr>
        <w:t xml:space="preserve">”: </w:t>
      </w:r>
      <w:r w:rsidR="00AA6730" w:rsidRPr="00AA6730">
        <w:rPr>
          <w:rFonts w:ascii="Bookman Old Style" w:hAnsi="Bookman Old Style"/>
          <w:i/>
          <w:color w:val="000F2E"/>
        </w:rPr>
        <w:t>é verdade que há uma modificação de regime jurídico, mas não parece que ela implique uma alteração de fundo do instituto do casamento (que é o facto que dá origem a estas situações jurídicas). Não parece que, no decurso destas modificações, se possa dizer que o legislador tem uma nova filosofia ou uma nova ideia sobre o casamento; pode admitir-se resposta em sentido contrário, se fundamentada</w:t>
      </w:r>
      <w:r w:rsidR="00AA6730">
        <w:rPr>
          <w:rFonts w:ascii="Bookman Old Style" w:hAnsi="Bookman Old Style"/>
          <w:color w:val="000F2E"/>
        </w:rPr>
        <w:t>.</w:t>
      </w:r>
    </w:p>
    <w:p w:rsidR="00D85AB0" w:rsidRPr="00CA7FDD" w:rsidRDefault="00D85AB0" w:rsidP="00AA6730">
      <w:pPr>
        <w:spacing w:after="0" w:line="360" w:lineRule="auto"/>
        <w:ind w:firstLine="708"/>
        <w:jc w:val="both"/>
        <w:rPr>
          <w:rFonts w:ascii="Bookman Old Style" w:hAnsi="Bookman Old Style"/>
          <w:color w:val="000F2E"/>
        </w:rPr>
      </w:pPr>
    </w:p>
    <w:p w:rsidR="00166F27" w:rsidRPr="00166F27" w:rsidRDefault="00166F27" w:rsidP="00166F27">
      <w:pPr>
        <w:spacing w:after="0" w:line="360" w:lineRule="auto"/>
        <w:jc w:val="center"/>
        <w:rPr>
          <w:rFonts w:ascii="Bookman Old Style" w:hAnsi="Bookman Old Style"/>
          <w:b/>
        </w:rPr>
      </w:pPr>
      <w:r w:rsidRPr="00166F27">
        <w:rPr>
          <w:rFonts w:ascii="Bookman Old Style" w:hAnsi="Bookman Old Style"/>
          <w:b/>
        </w:rPr>
        <w:t>IV</w:t>
      </w:r>
    </w:p>
    <w:p w:rsidR="00166F27" w:rsidRDefault="00166F27" w:rsidP="00166F27">
      <w:pPr>
        <w:spacing w:after="0" w:line="360" w:lineRule="auto"/>
        <w:jc w:val="both"/>
        <w:rPr>
          <w:rFonts w:ascii="Bookman Old Style" w:hAnsi="Bookman Old Style"/>
        </w:rPr>
      </w:pPr>
      <w:r>
        <w:rPr>
          <w:rFonts w:ascii="Bookman Old Style" w:hAnsi="Bookman Old Style"/>
        </w:rPr>
        <w:tab/>
        <w:t>Nos termos do DL y/2012, de 1 de fevereiro, “</w:t>
      </w:r>
      <w:r w:rsidRPr="00166F27">
        <w:rPr>
          <w:rFonts w:ascii="Bookman Old Style" w:hAnsi="Bookman Old Style"/>
          <w:i/>
        </w:rPr>
        <w:t>os proprietários de bens imóveis não os poderão alienar antes de decorrido um ano sobre a data da respetiva aquisição</w:t>
      </w:r>
      <w:r>
        <w:rPr>
          <w:rFonts w:ascii="Bookman Old Style" w:hAnsi="Bookman Old Style"/>
        </w:rPr>
        <w:t>”.</w:t>
      </w:r>
    </w:p>
    <w:p w:rsidR="00166F27" w:rsidRDefault="00166F27" w:rsidP="00166F27">
      <w:pPr>
        <w:spacing w:after="0" w:line="360" w:lineRule="auto"/>
        <w:jc w:val="both"/>
        <w:rPr>
          <w:rFonts w:ascii="Bookman Old Style" w:hAnsi="Bookman Old Style"/>
        </w:rPr>
      </w:pPr>
      <w:r>
        <w:rPr>
          <w:rFonts w:ascii="Bookman Old Style" w:hAnsi="Bookman Old Style"/>
        </w:rPr>
        <w:tab/>
        <w:t>Semelhante exigência não existia, até aí, no Direito Português.</w:t>
      </w:r>
    </w:p>
    <w:p w:rsidR="00166F27" w:rsidRDefault="00166F27" w:rsidP="00166F27">
      <w:pPr>
        <w:spacing w:after="0" w:line="360" w:lineRule="auto"/>
        <w:jc w:val="both"/>
        <w:rPr>
          <w:rFonts w:ascii="Bookman Old Style" w:hAnsi="Bookman Old Style"/>
        </w:rPr>
      </w:pPr>
      <w:r>
        <w:rPr>
          <w:rFonts w:ascii="Bookman Old Style" w:hAnsi="Bookman Old Style"/>
        </w:rPr>
        <w:tab/>
        <w:t>EGAS comprou a BECAS, no passado dia 15 de janeiro do corrente ano, uma fração de prédio urbano, sita no Bombarral e pretende agora doá-la ao filho, POUPAS. Mas, tendo em conta o disposto no citado DL, não sabe se o poderá já fazer. Que lhe responderia?</w:t>
      </w:r>
    </w:p>
    <w:p w:rsidR="00166F27" w:rsidRDefault="00166F27" w:rsidP="00166F27">
      <w:pPr>
        <w:spacing w:after="0" w:line="360" w:lineRule="auto"/>
        <w:jc w:val="both"/>
        <w:rPr>
          <w:rFonts w:ascii="Bookman Old Style" w:hAnsi="Bookman Old Style"/>
        </w:rPr>
      </w:pPr>
    </w:p>
    <w:p w:rsidR="00D85AB0" w:rsidRDefault="00D85AB0" w:rsidP="00166F27">
      <w:pPr>
        <w:spacing w:after="0" w:line="360" w:lineRule="auto"/>
        <w:jc w:val="both"/>
        <w:rPr>
          <w:rFonts w:ascii="Bookman Old Style" w:hAnsi="Bookman Old Style"/>
          <w:color w:val="000F2E"/>
        </w:rPr>
      </w:pPr>
      <w:r>
        <w:rPr>
          <w:rFonts w:ascii="Bookman Old Style" w:hAnsi="Bookman Old Style"/>
        </w:rPr>
        <w:tab/>
      </w:r>
      <w:r>
        <w:rPr>
          <w:rFonts w:ascii="Bookman Old Style" w:hAnsi="Bookman Old Style"/>
          <w:color w:val="000F2E"/>
        </w:rPr>
        <w:t>Este caso envolveria análise de duas questões:</w:t>
      </w:r>
    </w:p>
    <w:p w:rsidR="00D85AB0" w:rsidRPr="00D85AB0" w:rsidRDefault="00D85AB0" w:rsidP="00166F27">
      <w:pPr>
        <w:spacing w:after="0" w:line="360" w:lineRule="auto"/>
        <w:jc w:val="both"/>
        <w:rPr>
          <w:rFonts w:ascii="Bookman Old Style" w:hAnsi="Bookman Old Style"/>
          <w:color w:val="000F2E"/>
        </w:rPr>
      </w:pPr>
    </w:p>
    <w:p w:rsidR="00D85AB0" w:rsidRDefault="00D85AB0" w:rsidP="00D85AB0">
      <w:pPr>
        <w:pStyle w:val="PargrafodaLista"/>
        <w:numPr>
          <w:ilvl w:val="0"/>
          <w:numId w:val="4"/>
        </w:numPr>
        <w:spacing w:after="0" w:line="360" w:lineRule="auto"/>
        <w:jc w:val="both"/>
        <w:rPr>
          <w:rFonts w:ascii="Bookman Old Style" w:hAnsi="Bookman Old Style"/>
          <w:i/>
          <w:color w:val="000F2E"/>
        </w:rPr>
      </w:pPr>
      <w:r>
        <w:rPr>
          <w:rFonts w:ascii="Bookman Old Style" w:hAnsi="Bookman Old Style"/>
          <w:i/>
          <w:color w:val="000F2E"/>
        </w:rPr>
        <w:t>Matéria:</w:t>
      </w:r>
      <w:r w:rsidRPr="00D85AB0">
        <w:rPr>
          <w:rFonts w:ascii="Bookman Old Style" w:hAnsi="Bookman Old Style"/>
          <w:i/>
          <w:color w:val="000F2E"/>
        </w:rPr>
        <w:t xml:space="preserve"> direitos reais (direito de propriedade), situações jurídicas duradouras. </w:t>
      </w:r>
      <w:r>
        <w:rPr>
          <w:rFonts w:ascii="Bookman Old Style" w:hAnsi="Bookman Old Style"/>
          <w:i/>
          <w:color w:val="000F2E"/>
        </w:rPr>
        <w:t xml:space="preserve">É um caso típico de artigo 12º/2 2ª parte, pois que o direito de propriedade é uma situação jurídica que pode ter origem em vários títulos (negócio jurídico translativo, usucapião, ocupação, acessão, </w:t>
      </w:r>
      <w:proofErr w:type="spellStart"/>
      <w:r>
        <w:rPr>
          <w:rFonts w:ascii="Bookman Old Style" w:hAnsi="Bookman Old Style"/>
          <w:i/>
          <w:color w:val="000F2E"/>
        </w:rPr>
        <w:t>etc</w:t>
      </w:r>
      <w:proofErr w:type="spellEnd"/>
      <w:r>
        <w:rPr>
          <w:rFonts w:ascii="Bookman Old Style" w:hAnsi="Bookman Old Style"/>
          <w:i/>
          <w:color w:val="000F2E"/>
        </w:rPr>
        <w:t>) sendo o conteúdo sempre o mesmo</w:t>
      </w:r>
      <w:r w:rsidR="008556A4">
        <w:rPr>
          <w:rFonts w:ascii="Bookman Old Style" w:hAnsi="Bookman Old Style"/>
          <w:i/>
          <w:color w:val="000F2E"/>
        </w:rPr>
        <w:t>,</w:t>
      </w:r>
      <w:r>
        <w:rPr>
          <w:rFonts w:ascii="Bookman Old Style" w:hAnsi="Bookman Old Style"/>
          <w:i/>
          <w:color w:val="000F2E"/>
        </w:rPr>
        <w:t xml:space="preserve"> independente</w:t>
      </w:r>
      <w:r w:rsidR="008556A4">
        <w:rPr>
          <w:rFonts w:ascii="Bookman Old Style" w:hAnsi="Bookman Old Style"/>
          <w:i/>
          <w:color w:val="000F2E"/>
        </w:rPr>
        <w:t>mente</w:t>
      </w:r>
      <w:r>
        <w:rPr>
          <w:rFonts w:ascii="Bookman Old Style" w:hAnsi="Bookman Old Style"/>
          <w:i/>
          <w:color w:val="000F2E"/>
        </w:rPr>
        <w:t xml:space="preserve"> do título</w:t>
      </w:r>
      <w:r w:rsidR="008556A4">
        <w:rPr>
          <w:rFonts w:ascii="Bookman Old Style" w:hAnsi="Bookman Old Style"/>
          <w:i/>
          <w:color w:val="000F2E"/>
        </w:rPr>
        <w:t>,</w:t>
      </w:r>
      <w:r>
        <w:rPr>
          <w:rFonts w:ascii="Bookman Old Style" w:hAnsi="Bookman Old Style"/>
          <w:i/>
          <w:color w:val="000F2E"/>
        </w:rPr>
        <w:t xml:space="preserve"> e fixado por lei (artigos 1302.º </w:t>
      </w:r>
      <w:proofErr w:type="spellStart"/>
      <w:r>
        <w:rPr>
          <w:rFonts w:ascii="Bookman Old Style" w:hAnsi="Bookman Old Style"/>
          <w:i/>
          <w:color w:val="000F2E"/>
        </w:rPr>
        <w:t>ss</w:t>
      </w:r>
      <w:proofErr w:type="spellEnd"/>
      <w:r>
        <w:rPr>
          <w:rFonts w:ascii="Bookman Old Style" w:hAnsi="Bookman Old Style"/>
          <w:i/>
          <w:color w:val="000F2E"/>
        </w:rPr>
        <w:t xml:space="preserve"> do CC). Ora, também esta LN fixava um regime que era aplicável para a propriedade em geral independentemente do facto ou título que lhe deu origem, razão pela qual se confirmava a “impressão” inicial e, nos termos do artigo 12.º/2 2ª parte, a LN era imediatamente aplicável.</w:t>
      </w:r>
    </w:p>
    <w:p w:rsidR="00D85AB0" w:rsidRDefault="00D85AB0" w:rsidP="00D85AB0">
      <w:pPr>
        <w:pStyle w:val="PargrafodaLista"/>
        <w:spacing w:after="0" w:line="360" w:lineRule="auto"/>
        <w:ind w:left="1065"/>
        <w:jc w:val="both"/>
        <w:rPr>
          <w:rFonts w:ascii="Bookman Old Style" w:hAnsi="Bookman Old Style"/>
          <w:i/>
          <w:color w:val="000F2E"/>
        </w:rPr>
      </w:pPr>
    </w:p>
    <w:p w:rsidR="00D85AB0" w:rsidRDefault="00D85AB0" w:rsidP="00D85AB0">
      <w:pPr>
        <w:pStyle w:val="PargrafodaLista"/>
        <w:numPr>
          <w:ilvl w:val="1"/>
          <w:numId w:val="5"/>
        </w:numPr>
        <w:spacing w:after="0" w:line="360" w:lineRule="auto"/>
        <w:jc w:val="both"/>
        <w:rPr>
          <w:rFonts w:ascii="Bookman Old Style" w:hAnsi="Bookman Old Style"/>
          <w:i/>
          <w:color w:val="000F2E"/>
        </w:rPr>
      </w:pPr>
      <w:r>
        <w:rPr>
          <w:rFonts w:ascii="Bookman Old Style" w:hAnsi="Bookman Old Style"/>
          <w:i/>
          <w:color w:val="000F2E"/>
        </w:rPr>
        <w:lastRenderedPageBreak/>
        <w:t xml:space="preserve">Poderia questionar-se a relevância de este regime da LN ser fixado apenas para bens imóveis, nomeadamente quanto a saber se isso envolveria ou não uma </w:t>
      </w:r>
      <w:proofErr w:type="spellStart"/>
      <w:r>
        <w:rPr>
          <w:rFonts w:ascii="Bookman Old Style" w:hAnsi="Bookman Old Style"/>
          <w:i/>
          <w:color w:val="000F2E"/>
        </w:rPr>
        <w:t>revaloração</w:t>
      </w:r>
      <w:proofErr w:type="spellEnd"/>
      <w:r>
        <w:rPr>
          <w:rFonts w:ascii="Bookman Old Style" w:hAnsi="Bookman Old Style"/>
          <w:i/>
          <w:color w:val="000F2E"/>
        </w:rPr>
        <w:t xml:space="preserve"> do facto. Ora,</w:t>
      </w:r>
      <w:r w:rsidR="00B359A6">
        <w:rPr>
          <w:rFonts w:ascii="Bookman Old Style" w:hAnsi="Bookman Old Style"/>
          <w:i/>
          <w:color w:val="000F2E"/>
        </w:rPr>
        <w:t xml:space="preserve"> parece que não, porque o facto</w:t>
      </w:r>
      <w:r>
        <w:rPr>
          <w:rFonts w:ascii="Bookman Old Style" w:hAnsi="Bookman Old Style"/>
          <w:i/>
          <w:color w:val="000F2E"/>
        </w:rPr>
        <w:t xml:space="preserve"> são os vários </w:t>
      </w:r>
      <w:r w:rsidR="00B359A6">
        <w:rPr>
          <w:rFonts w:ascii="Bookman Old Style" w:hAnsi="Bookman Old Style"/>
          <w:i/>
          <w:color w:val="000F2E"/>
        </w:rPr>
        <w:t>títulos que p</w:t>
      </w:r>
      <w:r>
        <w:rPr>
          <w:rFonts w:ascii="Bookman Old Style" w:hAnsi="Bookman Old Style"/>
          <w:i/>
          <w:color w:val="000F2E"/>
        </w:rPr>
        <w:t xml:space="preserve">odem dar origem à propriedade (contrato, usucapião, </w:t>
      </w:r>
      <w:proofErr w:type="spellStart"/>
      <w:r>
        <w:rPr>
          <w:rFonts w:ascii="Bookman Old Style" w:hAnsi="Bookman Old Style"/>
          <w:i/>
          <w:color w:val="000F2E"/>
        </w:rPr>
        <w:t>etc</w:t>
      </w:r>
      <w:proofErr w:type="spellEnd"/>
      <w:r>
        <w:rPr>
          <w:rFonts w:ascii="Bookman Old Style" w:hAnsi="Bookman Old Style"/>
          <w:i/>
          <w:color w:val="000F2E"/>
        </w:rPr>
        <w:t>)</w:t>
      </w:r>
      <w:r w:rsidR="00B359A6">
        <w:rPr>
          <w:rFonts w:ascii="Bookman Old Style" w:hAnsi="Bookman Old Style"/>
          <w:i/>
          <w:color w:val="000F2E"/>
        </w:rPr>
        <w:t>;</w:t>
      </w:r>
      <w:r>
        <w:rPr>
          <w:rFonts w:ascii="Bookman Old Style" w:hAnsi="Bookman Old Style"/>
          <w:i/>
          <w:color w:val="000F2E"/>
        </w:rPr>
        <w:t xml:space="preserve"> não os bens e a sua natureza de móvel ou imóvel.</w:t>
      </w:r>
    </w:p>
    <w:p w:rsidR="00D85AB0" w:rsidRDefault="00D85AB0" w:rsidP="00D85AB0">
      <w:pPr>
        <w:pStyle w:val="PargrafodaLista"/>
        <w:spacing w:after="0" w:line="360" w:lineRule="auto"/>
        <w:ind w:left="1785"/>
        <w:jc w:val="both"/>
        <w:rPr>
          <w:rFonts w:ascii="Bookman Old Style" w:hAnsi="Bookman Old Style"/>
          <w:i/>
          <w:color w:val="000F2E"/>
        </w:rPr>
      </w:pPr>
    </w:p>
    <w:p w:rsidR="00D85AB0" w:rsidRDefault="00B359A6" w:rsidP="00D85AB0">
      <w:pPr>
        <w:pStyle w:val="PargrafodaLista"/>
        <w:numPr>
          <w:ilvl w:val="0"/>
          <w:numId w:val="4"/>
        </w:numPr>
        <w:spacing w:after="0" w:line="360" w:lineRule="auto"/>
        <w:jc w:val="both"/>
        <w:rPr>
          <w:rFonts w:ascii="Bookman Old Style" w:hAnsi="Bookman Old Style"/>
          <w:i/>
          <w:color w:val="000F2E"/>
        </w:rPr>
      </w:pPr>
      <w:r>
        <w:rPr>
          <w:rFonts w:ascii="Bookman Old Style" w:hAnsi="Bookman Old Style"/>
          <w:i/>
          <w:color w:val="000F2E"/>
        </w:rPr>
        <w:t xml:space="preserve">Ao fixar-se um prazo de 1 ano para que a alienação seja possível, está-se a fixar </w:t>
      </w:r>
      <w:proofErr w:type="spellStart"/>
      <w:proofErr w:type="gramStart"/>
      <w:r>
        <w:rPr>
          <w:rFonts w:ascii="Bookman Old Style" w:hAnsi="Bookman Old Style"/>
          <w:color w:val="000F2E"/>
        </w:rPr>
        <w:t>ex</w:t>
      </w:r>
      <w:proofErr w:type="spellEnd"/>
      <w:proofErr w:type="gramEnd"/>
      <w:r>
        <w:rPr>
          <w:rFonts w:ascii="Bookman Old Style" w:hAnsi="Bookman Old Style"/>
          <w:color w:val="000F2E"/>
        </w:rPr>
        <w:t xml:space="preserve"> novo</w:t>
      </w:r>
      <w:r>
        <w:rPr>
          <w:rFonts w:ascii="Bookman Old Style" w:hAnsi="Bookman Old Style"/>
          <w:i/>
          <w:color w:val="000F2E"/>
        </w:rPr>
        <w:t xml:space="preserve"> </w:t>
      </w:r>
      <w:proofErr w:type="gramStart"/>
      <w:r>
        <w:rPr>
          <w:rFonts w:ascii="Bookman Old Style" w:hAnsi="Bookman Old Style"/>
          <w:i/>
          <w:color w:val="000F2E"/>
        </w:rPr>
        <w:t>um</w:t>
      </w:r>
      <w:proofErr w:type="gramEnd"/>
      <w:r>
        <w:rPr>
          <w:rFonts w:ascii="Bookman Old Style" w:hAnsi="Bookman Old Style"/>
          <w:i/>
          <w:color w:val="000F2E"/>
        </w:rPr>
        <w:t xml:space="preserve"> prazo. Nessa hipótese, a doutrina entende (v.g. MENEZES CORDEIRO, PIRES DE LIMA/ANTUNES VARELA) que o regime a aplicar será o do encurtamento do prazo – artigo 297/1: a LN seria de aplicação imediata mas o prazo só começaria a contar a partir do seu início de vigência a 1/2/2012. Por isso, E poderia doar a 1/2/2013 (quando decorreu 1 ano)</w:t>
      </w:r>
      <w:r w:rsidR="00C73E99">
        <w:rPr>
          <w:rFonts w:ascii="Bookman Old Style" w:hAnsi="Bookman Old Style"/>
          <w:i/>
          <w:color w:val="000F2E"/>
        </w:rPr>
        <w:t>. A contagem reporta-se ao momento de entrada em vigor da LN:</w:t>
      </w:r>
    </w:p>
    <w:p w:rsidR="00B359A6" w:rsidRDefault="00B359A6" w:rsidP="00B359A6">
      <w:pPr>
        <w:pStyle w:val="PargrafodaLista"/>
        <w:spacing w:after="0" w:line="360" w:lineRule="auto"/>
        <w:ind w:left="1065"/>
        <w:jc w:val="both"/>
        <w:rPr>
          <w:rFonts w:ascii="Bookman Old Style" w:hAnsi="Bookman Old Style"/>
          <w:i/>
          <w:color w:val="000F2E"/>
        </w:rPr>
      </w:pPr>
    </w:p>
    <w:p w:rsidR="00B359A6" w:rsidRPr="00D85AB0" w:rsidRDefault="00B359A6" w:rsidP="00B359A6">
      <w:pPr>
        <w:pStyle w:val="PargrafodaLista"/>
        <w:spacing w:after="0" w:line="360" w:lineRule="auto"/>
        <w:ind w:left="1065"/>
        <w:jc w:val="both"/>
        <w:rPr>
          <w:rFonts w:ascii="Bookman Old Style" w:hAnsi="Bookman Old Style"/>
          <w:i/>
          <w:color w:val="000F2E"/>
        </w:rPr>
      </w:pPr>
      <w:r>
        <w:rPr>
          <w:rFonts w:ascii="Bookman Old Style" w:hAnsi="Bookman Old Style"/>
          <w:i/>
          <w:color w:val="000F2E"/>
        </w:rPr>
        <w:t xml:space="preserve">BAPTISTA MACHADO refere que nas hipóteses em que o decurso do tempo seja um facto pressuposto há aplicação imediata da LN sem mais [quer dizer, sem a ressalva que resultaria da parte final do artigo 297/1]. Porém, mesmo considerando aqui o tempo um facto pressuposto (que parece que seria) e aplicando essa doutrina, a resposta seria idêntica. </w:t>
      </w:r>
    </w:p>
    <w:p w:rsidR="008C7D11" w:rsidRDefault="008C7D11" w:rsidP="00166F27">
      <w:pPr>
        <w:spacing w:after="0" w:line="360" w:lineRule="auto"/>
        <w:jc w:val="both"/>
        <w:rPr>
          <w:rFonts w:ascii="Bookman Old Style" w:hAnsi="Bookman Old Style"/>
        </w:rPr>
      </w:pPr>
    </w:p>
    <w:p w:rsidR="00166F27" w:rsidRDefault="00166F27" w:rsidP="00166F27">
      <w:pPr>
        <w:spacing w:after="0" w:line="360" w:lineRule="auto"/>
        <w:jc w:val="both"/>
        <w:rPr>
          <w:rFonts w:ascii="Bookman Old Style" w:hAnsi="Bookman Old Style"/>
        </w:rPr>
      </w:pPr>
      <w:r w:rsidRPr="00166F27">
        <w:rPr>
          <w:rFonts w:ascii="Bookman Old Style" w:hAnsi="Bookman Old Style"/>
          <w:b/>
        </w:rPr>
        <w:t xml:space="preserve">Variante – </w:t>
      </w:r>
      <w:r>
        <w:rPr>
          <w:rFonts w:ascii="Bookman Old Style" w:hAnsi="Bookman Old Style"/>
        </w:rPr>
        <w:t>Suponha que um DL z/2013, de 1 de maio, vinha alterar o DL y/2012, de 1 de fevereiro, exigindo um prazo de dois anos. Pode EGAS doar a BECAS, a fração de prédio urbano de que é proprietário, a 2 de maio de 2013?</w:t>
      </w:r>
    </w:p>
    <w:p w:rsidR="00166F27" w:rsidRDefault="00166F27" w:rsidP="00166F27">
      <w:pPr>
        <w:spacing w:after="0" w:line="360" w:lineRule="auto"/>
        <w:jc w:val="both"/>
        <w:rPr>
          <w:rFonts w:ascii="Bookman Old Style" w:hAnsi="Bookman Old Style"/>
        </w:rPr>
      </w:pPr>
      <w:r>
        <w:rPr>
          <w:rFonts w:ascii="Bookman Old Style" w:hAnsi="Bookman Old Style"/>
        </w:rPr>
        <w:tab/>
        <w:t>Se não, quando o poderá fazer?</w:t>
      </w:r>
    </w:p>
    <w:p w:rsidR="00166F27" w:rsidRDefault="00166F27" w:rsidP="00166F27">
      <w:pPr>
        <w:spacing w:after="0" w:line="360" w:lineRule="auto"/>
        <w:jc w:val="both"/>
        <w:rPr>
          <w:rFonts w:ascii="Bookman Old Style" w:hAnsi="Bookman Old Style"/>
        </w:rPr>
      </w:pPr>
    </w:p>
    <w:p w:rsidR="00B359A6" w:rsidRDefault="00B359A6" w:rsidP="00166F27">
      <w:pPr>
        <w:spacing w:after="0" w:line="360" w:lineRule="auto"/>
        <w:jc w:val="both"/>
        <w:rPr>
          <w:rFonts w:ascii="Bookman Old Style" w:hAnsi="Bookman Old Style"/>
          <w:i/>
          <w:color w:val="000F2E"/>
        </w:rPr>
      </w:pPr>
      <w:r>
        <w:rPr>
          <w:rFonts w:ascii="Bookman Old Style" w:hAnsi="Bookman Old Style"/>
          <w:color w:val="000F2E"/>
        </w:rPr>
        <w:tab/>
      </w:r>
      <w:r>
        <w:rPr>
          <w:rFonts w:ascii="Bookman Old Style" w:hAnsi="Bookman Old Style"/>
          <w:i/>
          <w:color w:val="000F2E"/>
        </w:rPr>
        <w:t xml:space="preserve">Aumento de prazo – artigo 297/2: aplicação imediata da LN mas cômputo do período de tempo já decorrido. Ou seja, começam a contar-se 2 anos a partir de 1/5/2013, mas </w:t>
      </w:r>
      <w:r w:rsidR="00C73E99">
        <w:rPr>
          <w:rFonts w:ascii="Bookman Old Style" w:hAnsi="Bookman Old Style"/>
          <w:i/>
          <w:color w:val="000F2E"/>
        </w:rPr>
        <w:t xml:space="preserve">conta-se o tempo que já passou (desde a aquisição, porque era esse o momento relevante para a contagem na LA). Temos, portanto, aqui um fenómeno de </w:t>
      </w:r>
      <w:proofErr w:type="spellStart"/>
      <w:r w:rsidR="00C73E99">
        <w:rPr>
          <w:rFonts w:ascii="Bookman Old Style" w:hAnsi="Bookman Old Style"/>
          <w:i/>
          <w:color w:val="000F2E"/>
        </w:rPr>
        <w:t>retroconexão</w:t>
      </w:r>
      <w:proofErr w:type="spellEnd"/>
      <w:r w:rsidR="00C73E99">
        <w:rPr>
          <w:rFonts w:ascii="Bookman Old Style" w:hAnsi="Bookman Old Style"/>
          <w:i/>
          <w:color w:val="000F2E"/>
        </w:rPr>
        <w:t xml:space="preserve"> (LN vê a sua previsão preenchida, em parte, com factos que ocorreram no passado). </w:t>
      </w:r>
    </w:p>
    <w:p w:rsidR="00F62109" w:rsidRDefault="00F62109" w:rsidP="00166F27">
      <w:pPr>
        <w:spacing w:after="0" w:line="360" w:lineRule="auto"/>
        <w:jc w:val="both"/>
        <w:rPr>
          <w:rFonts w:ascii="Bookman Old Style" w:hAnsi="Bookman Old Style"/>
          <w:i/>
          <w:color w:val="000F2E"/>
        </w:rPr>
      </w:pPr>
      <w:r>
        <w:rPr>
          <w:rFonts w:ascii="Bookman Old Style" w:hAnsi="Bookman Old Style"/>
          <w:i/>
          <w:color w:val="000F2E"/>
        </w:rPr>
        <w:tab/>
        <w:t xml:space="preserve">De novo se deveria colocar a questão de saber se o tempo aqui era um facto pressuposto e se, por isso, era não aplicável o artigo 297.º. Porém, </w:t>
      </w:r>
      <w:r>
        <w:rPr>
          <w:rFonts w:ascii="Bookman Old Style" w:hAnsi="Bookman Old Style"/>
          <w:i/>
          <w:color w:val="000F2E"/>
        </w:rPr>
        <w:lastRenderedPageBreak/>
        <w:t xml:space="preserve">BAPTISTA MACHADO é perentório em excluir a aplicação do 297/1, não do 297/2. </w:t>
      </w:r>
    </w:p>
    <w:p w:rsidR="00C73E99" w:rsidRPr="00B359A6" w:rsidRDefault="00C73E99" w:rsidP="00166F27">
      <w:pPr>
        <w:spacing w:after="0" w:line="360" w:lineRule="auto"/>
        <w:jc w:val="both"/>
        <w:rPr>
          <w:rFonts w:ascii="Bookman Old Style" w:hAnsi="Bookman Old Style"/>
          <w:i/>
          <w:color w:val="000F2E"/>
        </w:rPr>
      </w:pPr>
    </w:p>
    <w:p w:rsidR="00166F27" w:rsidRDefault="00166F27" w:rsidP="00166F27">
      <w:pPr>
        <w:spacing w:after="0" w:line="360" w:lineRule="auto"/>
        <w:jc w:val="both"/>
        <w:rPr>
          <w:rFonts w:ascii="Bookman Old Style" w:hAnsi="Bookman Old Style"/>
        </w:rPr>
      </w:pPr>
      <w:r w:rsidRPr="00166F27">
        <w:rPr>
          <w:rFonts w:ascii="Bookman Old Style" w:hAnsi="Bookman Old Style"/>
          <w:b/>
        </w:rPr>
        <w:t>Variante II</w:t>
      </w:r>
      <w:r>
        <w:rPr>
          <w:rFonts w:ascii="Bookman Old Style" w:hAnsi="Bookman Old Style"/>
        </w:rPr>
        <w:t xml:space="preserve"> – Suponha que o DL x/2012</w:t>
      </w:r>
      <w:proofErr w:type="gramStart"/>
      <w:r>
        <w:rPr>
          <w:rFonts w:ascii="Bookman Old Style" w:hAnsi="Bookman Old Style"/>
        </w:rPr>
        <w:t>,</w:t>
      </w:r>
      <w:proofErr w:type="gramEnd"/>
      <w:r>
        <w:rPr>
          <w:rFonts w:ascii="Bookman Old Style" w:hAnsi="Bookman Old Style"/>
        </w:rPr>
        <w:t xml:space="preserve"> dispunha, em vez do citado, o seguinte: ““</w:t>
      </w:r>
      <w:r w:rsidRPr="00166F27">
        <w:rPr>
          <w:rFonts w:ascii="Bookman Old Style" w:hAnsi="Bookman Old Style"/>
          <w:i/>
        </w:rPr>
        <w:t xml:space="preserve">os proprietários de bens imóveis </w:t>
      </w:r>
      <w:r w:rsidR="003C52D5">
        <w:rPr>
          <w:rFonts w:ascii="Bookman Old Style" w:hAnsi="Bookman Old Style"/>
          <w:i/>
        </w:rPr>
        <w:t xml:space="preserve">adquiridos por usucapião </w:t>
      </w:r>
      <w:r w:rsidRPr="00166F27">
        <w:rPr>
          <w:rFonts w:ascii="Bookman Old Style" w:hAnsi="Bookman Old Style"/>
          <w:i/>
        </w:rPr>
        <w:t xml:space="preserve">não os poderão alienar antes de decorrido um ano sobre a data da respetiva </w:t>
      </w:r>
      <w:proofErr w:type="gramStart"/>
      <w:r w:rsidRPr="00166F27">
        <w:rPr>
          <w:rFonts w:ascii="Bookman Old Style" w:hAnsi="Bookman Old Style"/>
          <w:i/>
        </w:rPr>
        <w:t>aquisição</w:t>
      </w:r>
      <w:proofErr w:type="gramEnd"/>
      <w:r>
        <w:rPr>
          <w:rFonts w:ascii="Bookman Old Style" w:hAnsi="Bookman Old Style"/>
        </w:rPr>
        <w:t>”.</w:t>
      </w:r>
    </w:p>
    <w:p w:rsidR="00166F27" w:rsidRPr="00C73E99" w:rsidRDefault="00166F27" w:rsidP="00166F27">
      <w:pPr>
        <w:spacing w:after="0" w:line="360" w:lineRule="auto"/>
        <w:jc w:val="both"/>
        <w:rPr>
          <w:rFonts w:ascii="Bookman Old Style" w:hAnsi="Bookman Old Style"/>
        </w:rPr>
      </w:pPr>
      <w:r>
        <w:rPr>
          <w:rFonts w:ascii="Bookman Old Style" w:hAnsi="Bookman Old Style"/>
        </w:rPr>
        <w:tab/>
        <w:t xml:space="preserve">BENTO adquiriu, por usucapião, em dezembro de 2011, a propriedade de um terreno cuja posse tinha desde 1990. Poderá hoje (março de 2012) </w:t>
      </w:r>
      <w:r w:rsidRPr="00C73E99">
        <w:rPr>
          <w:rFonts w:ascii="Bookman Old Style" w:hAnsi="Bookman Old Style"/>
        </w:rPr>
        <w:t>vendê-lo a CAETANA?</w:t>
      </w:r>
    </w:p>
    <w:p w:rsidR="00166F27" w:rsidRPr="00C73E99" w:rsidRDefault="00166F27" w:rsidP="00166F27">
      <w:pPr>
        <w:spacing w:after="0" w:line="360" w:lineRule="auto"/>
        <w:jc w:val="both"/>
        <w:rPr>
          <w:rFonts w:ascii="Bookman Old Style" w:hAnsi="Bookman Old Style"/>
          <w:i/>
        </w:rPr>
      </w:pPr>
    </w:p>
    <w:p w:rsidR="00C73E99" w:rsidRPr="00C73E99" w:rsidRDefault="00C73E99" w:rsidP="00C73E99">
      <w:pPr>
        <w:spacing w:after="0" w:line="360" w:lineRule="auto"/>
        <w:ind w:firstLine="708"/>
        <w:jc w:val="both"/>
        <w:rPr>
          <w:rFonts w:ascii="Bookman Old Style" w:hAnsi="Bookman Old Style"/>
          <w:i/>
          <w:color w:val="000F2E"/>
        </w:rPr>
      </w:pPr>
      <w:r w:rsidRPr="00C73E99">
        <w:rPr>
          <w:rFonts w:ascii="Bookman Old Style" w:hAnsi="Bookman Old Style"/>
          <w:i/>
          <w:color w:val="000F2E"/>
        </w:rPr>
        <w:t xml:space="preserve">Matéria: direitos reais (propriedade), situações duradouras. Aparentemente, artigo 12º/1 2ª parte; porém, verifica-se que a LN está a associar certos efeitos ou consequências a um determinado facto (a usucapião), não abstraindo dele. Por isso, se </w:t>
      </w:r>
      <w:proofErr w:type="spellStart"/>
      <w:r w:rsidRPr="00C73E99">
        <w:rPr>
          <w:rFonts w:ascii="Bookman Old Style" w:hAnsi="Bookman Old Style"/>
          <w:i/>
          <w:color w:val="000F2E"/>
        </w:rPr>
        <w:t>se</w:t>
      </w:r>
      <w:proofErr w:type="spellEnd"/>
      <w:r w:rsidRPr="00C73E99">
        <w:rPr>
          <w:rFonts w:ascii="Bookman Old Style" w:hAnsi="Bookman Old Style"/>
          <w:i/>
          <w:color w:val="000F2E"/>
        </w:rPr>
        <w:t xml:space="preserve"> dispõe sobre o conteúdo de uma </w:t>
      </w:r>
      <w:proofErr w:type="spellStart"/>
      <w:r w:rsidRPr="00C73E99">
        <w:rPr>
          <w:rFonts w:ascii="Bookman Old Style" w:hAnsi="Bookman Old Style"/>
          <w:i/>
          <w:color w:val="000F2E"/>
        </w:rPr>
        <w:t>sj</w:t>
      </w:r>
      <w:proofErr w:type="spellEnd"/>
      <w:r w:rsidRPr="00C73E99">
        <w:rPr>
          <w:rFonts w:ascii="Bookman Old Style" w:hAnsi="Bookman Old Style"/>
          <w:i/>
          <w:color w:val="000F2E"/>
        </w:rPr>
        <w:t xml:space="preserve"> levando em conta o facto que lhe deu origem, está-se a </w:t>
      </w:r>
      <w:proofErr w:type="spellStart"/>
      <w:r w:rsidRPr="00C73E99">
        <w:rPr>
          <w:rFonts w:ascii="Bookman Old Style" w:hAnsi="Bookman Old Style"/>
          <w:i/>
          <w:color w:val="000F2E"/>
        </w:rPr>
        <w:t>revalorar</w:t>
      </w:r>
      <w:proofErr w:type="spellEnd"/>
      <w:r w:rsidRPr="00C73E99">
        <w:rPr>
          <w:rFonts w:ascii="Bookman Old Style" w:hAnsi="Bookman Old Style"/>
          <w:i/>
          <w:color w:val="000F2E"/>
        </w:rPr>
        <w:t xml:space="preserve"> esse facto e o que se aplica é o artigo 12/2 1.ª parte, razão, pela qual, o caso continuaria a reger-se pela LA que não prevê qualquer prazo. </w:t>
      </w:r>
      <w:r>
        <w:rPr>
          <w:rFonts w:ascii="Bookman Old Style" w:hAnsi="Bookman Old Style"/>
          <w:i/>
          <w:color w:val="000F2E"/>
        </w:rPr>
        <w:t>Logo, B pode vender.</w:t>
      </w:r>
    </w:p>
    <w:p w:rsidR="00C73E99" w:rsidRDefault="00C73E99" w:rsidP="00166F27">
      <w:pPr>
        <w:spacing w:after="0" w:line="360" w:lineRule="auto"/>
        <w:jc w:val="center"/>
        <w:rPr>
          <w:rFonts w:ascii="Bookman Old Style" w:hAnsi="Bookman Old Style"/>
          <w:i/>
          <w:color w:val="000F2E"/>
        </w:rPr>
      </w:pPr>
    </w:p>
    <w:p w:rsidR="00166F27" w:rsidRPr="003C52D5" w:rsidRDefault="00166F27" w:rsidP="00166F27">
      <w:pPr>
        <w:spacing w:after="0" w:line="360" w:lineRule="auto"/>
        <w:jc w:val="center"/>
        <w:rPr>
          <w:rFonts w:ascii="Bookman Old Style" w:hAnsi="Bookman Old Style"/>
          <w:b/>
        </w:rPr>
      </w:pPr>
      <w:r w:rsidRPr="003C52D5">
        <w:rPr>
          <w:rFonts w:ascii="Bookman Old Style" w:hAnsi="Bookman Old Style"/>
          <w:b/>
        </w:rPr>
        <w:t>V</w:t>
      </w:r>
    </w:p>
    <w:p w:rsidR="00166F27" w:rsidRDefault="00166F27" w:rsidP="00322F81">
      <w:pPr>
        <w:spacing w:after="0" w:line="360" w:lineRule="auto"/>
        <w:ind w:firstLine="708"/>
        <w:jc w:val="both"/>
        <w:rPr>
          <w:rFonts w:ascii="Bookman Old Style" w:hAnsi="Bookman Old Style"/>
        </w:rPr>
      </w:pPr>
      <w:r>
        <w:rPr>
          <w:rFonts w:ascii="Bookman Old Style" w:hAnsi="Bookman Old Style"/>
        </w:rPr>
        <w:t xml:space="preserve">Imagine que a L1, publicada a 11 de junho de 2004, veio estabelecer </w:t>
      </w:r>
      <w:proofErr w:type="gramStart"/>
      <w:r>
        <w:rPr>
          <w:rFonts w:ascii="Bookman Old Style" w:hAnsi="Bookman Old Style"/>
        </w:rPr>
        <w:t>que</w:t>
      </w:r>
      <w:proofErr w:type="gramEnd"/>
      <w:r>
        <w:rPr>
          <w:rFonts w:ascii="Bookman Old Style" w:hAnsi="Bookman Old Style"/>
        </w:rPr>
        <w:t>: “</w:t>
      </w:r>
      <w:r w:rsidRPr="006B423A">
        <w:rPr>
          <w:rFonts w:ascii="Bookman Old Style" w:hAnsi="Bookman Old Style"/>
          <w:i/>
        </w:rPr>
        <w:t>caso as partes no contrato de mútuo não estabeleçam a taxa de juro, está será de 5%</w:t>
      </w:r>
      <w:r>
        <w:rPr>
          <w:rFonts w:ascii="Bookman Old Style" w:hAnsi="Bookman Old Style"/>
        </w:rPr>
        <w:t xml:space="preserve">”. </w:t>
      </w:r>
    </w:p>
    <w:p w:rsidR="009A321F" w:rsidRPr="00322F81" w:rsidRDefault="00166F27" w:rsidP="00322F81">
      <w:pPr>
        <w:spacing w:after="0" w:line="360" w:lineRule="auto"/>
        <w:ind w:firstLine="708"/>
        <w:jc w:val="both"/>
        <w:rPr>
          <w:rFonts w:ascii="Bookman Old Style" w:hAnsi="Bookman Old Style"/>
          <w:i/>
        </w:rPr>
      </w:pPr>
      <w:r>
        <w:rPr>
          <w:rFonts w:ascii="Bookman Old Style" w:hAnsi="Bookman Old Style"/>
        </w:rPr>
        <w:t>A 22 de dezembro</w:t>
      </w:r>
      <w:r w:rsidR="009A321F">
        <w:rPr>
          <w:rFonts w:ascii="Bookman Old Style" w:hAnsi="Bookman Old Style"/>
        </w:rPr>
        <w:t xml:space="preserve"> de 2008, entra em vigor uma L2</w:t>
      </w:r>
      <w:r>
        <w:rPr>
          <w:rFonts w:ascii="Bookman Old Style" w:hAnsi="Bookman Old Style"/>
        </w:rPr>
        <w:t>, a qual vem determinar que “</w:t>
      </w:r>
      <w:r w:rsidRPr="009A321F">
        <w:rPr>
          <w:rFonts w:ascii="Bookman Old Style" w:hAnsi="Bookman Old Style"/>
          <w:i/>
        </w:rPr>
        <w:t>caso as partes no contrato de mútuo não estabeleçam a taxa de juro, esta será de 8%”.</w:t>
      </w:r>
    </w:p>
    <w:p w:rsidR="009A321F" w:rsidRDefault="009A321F" w:rsidP="00166F27">
      <w:pPr>
        <w:spacing w:after="0" w:line="360" w:lineRule="auto"/>
        <w:ind w:firstLine="708"/>
        <w:jc w:val="both"/>
        <w:rPr>
          <w:rFonts w:ascii="Bookman Old Style" w:hAnsi="Bookman Old Style"/>
        </w:rPr>
      </w:pPr>
      <w:r>
        <w:rPr>
          <w:rFonts w:ascii="Bookman Old Style" w:hAnsi="Bookman Old Style"/>
        </w:rPr>
        <w:t xml:space="preserve">A celebrou com B um contrato de mútuo a 3 de março de 2003. Qual a taxa de juro que deve ser paga por A </w:t>
      </w:r>
      <w:proofErr w:type="spellStart"/>
      <w:r>
        <w:rPr>
          <w:rFonts w:ascii="Bookman Old Style" w:hAnsi="Bookman Old Style"/>
        </w:rPr>
        <w:t>a</w:t>
      </w:r>
      <w:proofErr w:type="spellEnd"/>
      <w:r>
        <w:rPr>
          <w:rFonts w:ascii="Bookman Old Style" w:hAnsi="Bookman Old Style"/>
        </w:rPr>
        <w:t xml:space="preserve"> B?</w:t>
      </w:r>
    </w:p>
    <w:p w:rsidR="009A321F" w:rsidRDefault="009A321F" w:rsidP="00166F27">
      <w:pPr>
        <w:spacing w:after="0" w:line="360" w:lineRule="auto"/>
        <w:ind w:firstLine="708"/>
        <w:jc w:val="both"/>
        <w:rPr>
          <w:rFonts w:ascii="Bookman Old Style" w:hAnsi="Bookman Old Style"/>
        </w:rPr>
      </w:pPr>
    </w:p>
    <w:p w:rsidR="00AA6730" w:rsidRPr="006744DC" w:rsidRDefault="00AA6730" w:rsidP="00166F27">
      <w:pPr>
        <w:spacing w:after="0" w:line="360" w:lineRule="auto"/>
        <w:ind w:firstLine="708"/>
        <w:jc w:val="both"/>
        <w:rPr>
          <w:rFonts w:ascii="Bookman Old Style" w:hAnsi="Bookman Old Style"/>
          <w:i/>
          <w:color w:val="000F2E"/>
        </w:rPr>
      </w:pPr>
      <w:r w:rsidRPr="006744DC">
        <w:rPr>
          <w:rFonts w:ascii="Bookman Old Style" w:hAnsi="Bookman Old Style"/>
          <w:i/>
          <w:color w:val="000F2E"/>
        </w:rPr>
        <w:t>Matéria em causa: situações contratuais (deveres de uma das partes num contrato de mútuo). É um caso típico em que o título modela as situações jurídicas pois que, o conteúdo das prestações das partes (o que deve ser emprestado, o que deve ser devolvido, os juros devidos) é estabelecido pelas partes no próprio contrato, não decorrendo da lei. Assim, naturalmente que uma LN sobre a matéria</w:t>
      </w:r>
      <w:proofErr w:type="gramStart"/>
      <w:r w:rsidRPr="006744DC">
        <w:rPr>
          <w:rFonts w:ascii="Bookman Old Style" w:hAnsi="Bookman Old Style"/>
          <w:i/>
          <w:color w:val="000F2E"/>
        </w:rPr>
        <w:t>,</w:t>
      </w:r>
      <w:proofErr w:type="gramEnd"/>
      <w:r w:rsidRPr="006744DC">
        <w:rPr>
          <w:rFonts w:ascii="Bookman Old Style" w:hAnsi="Bookman Old Style"/>
          <w:i/>
          <w:color w:val="000F2E"/>
        </w:rPr>
        <w:t xml:space="preserve"> vem dispor sobre o conteúdo de uma situação jurídica, mas não abstrai do facto que lhe deu origem (o contrato) </w:t>
      </w:r>
      <w:r w:rsidRPr="006744DC">
        <w:rPr>
          <w:rFonts w:ascii="Bookman Old Style" w:hAnsi="Bookman Old Style"/>
          <w:i/>
          <w:color w:val="000F2E"/>
        </w:rPr>
        <w:sym w:font="Wingdings" w:char="F0E0"/>
      </w:r>
      <w:r w:rsidRPr="006744DC">
        <w:rPr>
          <w:rFonts w:ascii="Bookman Old Style" w:hAnsi="Bookman Old Style"/>
          <w:i/>
          <w:color w:val="000F2E"/>
        </w:rPr>
        <w:t xml:space="preserve"> </w:t>
      </w:r>
      <w:proofErr w:type="gramStart"/>
      <w:r w:rsidRPr="006744DC">
        <w:rPr>
          <w:rFonts w:ascii="Bookman Old Style" w:hAnsi="Bookman Old Style"/>
          <w:i/>
          <w:color w:val="000F2E"/>
        </w:rPr>
        <w:t>logo</w:t>
      </w:r>
      <w:proofErr w:type="gramEnd"/>
      <w:r w:rsidRPr="006744DC">
        <w:rPr>
          <w:rFonts w:ascii="Bookman Old Style" w:hAnsi="Bookman Old Style"/>
          <w:i/>
          <w:color w:val="000F2E"/>
        </w:rPr>
        <w:t xml:space="preserve">, aplica-se o artigo </w:t>
      </w:r>
      <w:r w:rsidRPr="006744DC">
        <w:rPr>
          <w:rFonts w:ascii="Bookman Old Style" w:hAnsi="Bookman Old Style"/>
          <w:i/>
          <w:color w:val="000F2E"/>
        </w:rPr>
        <w:lastRenderedPageBreak/>
        <w:t>12.º/1 1ª parte (efei</w:t>
      </w:r>
      <w:r w:rsidR="00D85AB0">
        <w:rPr>
          <w:rFonts w:ascii="Bookman Old Style" w:hAnsi="Bookman Old Style"/>
          <w:i/>
          <w:color w:val="000F2E"/>
        </w:rPr>
        <w:t xml:space="preserve">tos de um facto) continuando a </w:t>
      </w:r>
      <w:r w:rsidRPr="006744DC">
        <w:rPr>
          <w:rFonts w:ascii="Bookman Old Style" w:hAnsi="Bookman Old Style"/>
          <w:i/>
          <w:color w:val="000F2E"/>
        </w:rPr>
        <w:t xml:space="preserve">aplicar-se a este contrato a lei vigente no momento da sua celebração (LA). Temos, pois, um fenómeno de </w:t>
      </w:r>
      <w:proofErr w:type="spellStart"/>
      <w:r w:rsidRPr="006744DC">
        <w:rPr>
          <w:rFonts w:ascii="Bookman Old Style" w:hAnsi="Bookman Old Style"/>
          <w:i/>
          <w:color w:val="000F2E"/>
        </w:rPr>
        <w:t>sobrevigência</w:t>
      </w:r>
      <w:proofErr w:type="spellEnd"/>
      <w:r w:rsidRPr="006744DC">
        <w:rPr>
          <w:rFonts w:ascii="Bookman Old Style" w:hAnsi="Bookman Old Style"/>
          <w:i/>
          <w:color w:val="000F2E"/>
        </w:rPr>
        <w:t xml:space="preserve"> da LA.</w:t>
      </w:r>
    </w:p>
    <w:p w:rsidR="00AA6730" w:rsidRPr="006744DC" w:rsidRDefault="00AA6730" w:rsidP="00166F27">
      <w:pPr>
        <w:spacing w:after="0" w:line="360" w:lineRule="auto"/>
        <w:ind w:firstLine="708"/>
        <w:jc w:val="both"/>
        <w:rPr>
          <w:rFonts w:ascii="Bookman Old Style" w:hAnsi="Bookman Old Style"/>
          <w:i/>
          <w:color w:val="000F2E"/>
        </w:rPr>
      </w:pPr>
      <w:r w:rsidRPr="006744DC">
        <w:rPr>
          <w:rFonts w:ascii="Bookman Old Style" w:hAnsi="Bookman Old Style"/>
          <w:i/>
          <w:color w:val="000F2E"/>
        </w:rPr>
        <w:t xml:space="preserve">Nestes casos, a doutrina refere-se ao “estatuto do contrato”: que nos diz, precisamente, que a um contrato é sempre aplicável a lei vigente no momento da sua celebração, por ser essa lei que as partes conheciam, e ter sido com base nela que formaram a sua vontade. Contudo, embora este seja um princípio geral </w:t>
      </w:r>
      <w:proofErr w:type="gramStart"/>
      <w:r w:rsidRPr="006744DC">
        <w:rPr>
          <w:rFonts w:ascii="Bookman Old Style" w:hAnsi="Bookman Old Style"/>
          <w:i/>
          <w:color w:val="000F2E"/>
        </w:rPr>
        <w:t>mais</w:t>
      </w:r>
      <w:proofErr w:type="gramEnd"/>
      <w:r w:rsidRPr="006744DC">
        <w:rPr>
          <w:rFonts w:ascii="Bookman Old Style" w:hAnsi="Bookman Old Style"/>
          <w:i/>
          <w:color w:val="000F2E"/>
        </w:rPr>
        <w:t xml:space="preserve"> ou menos pacífico, ele não é de aplicação dogmática, tendo sempre que ser testado caso a caso face ao que resulta do artigo 12º/2 e havendo casos em que, mesmo no domínio contratual, se verifica aplicação imediata da LN.</w:t>
      </w:r>
    </w:p>
    <w:p w:rsidR="006744DC" w:rsidRDefault="00AA6730" w:rsidP="008556A4">
      <w:pPr>
        <w:spacing w:after="0" w:line="360" w:lineRule="auto"/>
        <w:ind w:firstLine="708"/>
        <w:jc w:val="both"/>
        <w:rPr>
          <w:rFonts w:ascii="Bookman Old Style" w:hAnsi="Bookman Old Style"/>
          <w:i/>
          <w:color w:val="000F2E"/>
        </w:rPr>
      </w:pPr>
      <w:r w:rsidRPr="006744DC">
        <w:rPr>
          <w:rFonts w:ascii="Bookman Old Style" w:hAnsi="Bookman Old Style"/>
          <w:i/>
          <w:color w:val="000F2E"/>
        </w:rPr>
        <w:t xml:space="preserve">No caso </w:t>
      </w:r>
      <w:proofErr w:type="spellStart"/>
      <w:r w:rsidRPr="006744DC">
        <w:rPr>
          <w:rFonts w:ascii="Bookman Old Style" w:hAnsi="Bookman Old Style"/>
          <w:color w:val="000F2E"/>
        </w:rPr>
        <w:t>sub</w:t>
      </w:r>
      <w:proofErr w:type="spellEnd"/>
      <w:r w:rsidRPr="006744DC">
        <w:rPr>
          <w:rFonts w:ascii="Bookman Old Style" w:hAnsi="Bookman Old Style"/>
          <w:color w:val="000F2E"/>
        </w:rPr>
        <w:t xml:space="preserve"> </w:t>
      </w:r>
      <w:proofErr w:type="spellStart"/>
      <w:r w:rsidRPr="006744DC">
        <w:rPr>
          <w:rFonts w:ascii="Bookman Old Style" w:hAnsi="Bookman Old Style"/>
          <w:color w:val="000F2E"/>
        </w:rPr>
        <w:t>judice</w:t>
      </w:r>
      <w:proofErr w:type="spellEnd"/>
      <w:r w:rsidRPr="006744DC">
        <w:rPr>
          <w:rFonts w:ascii="Bookman Old Style" w:hAnsi="Bookman Old Style"/>
          <w:i/>
          <w:color w:val="000F2E"/>
        </w:rPr>
        <w:t xml:space="preserve"> haveria mais uma particularidade importante que apontaria para a </w:t>
      </w:r>
      <w:proofErr w:type="spellStart"/>
      <w:r w:rsidRPr="006744DC">
        <w:rPr>
          <w:rFonts w:ascii="Bookman Old Style" w:hAnsi="Bookman Old Style"/>
          <w:i/>
          <w:color w:val="000F2E"/>
        </w:rPr>
        <w:t>sobrevigência</w:t>
      </w:r>
      <w:proofErr w:type="spellEnd"/>
      <w:r w:rsidRPr="006744DC">
        <w:rPr>
          <w:rFonts w:ascii="Bookman Old Style" w:hAnsi="Bookman Old Style"/>
          <w:i/>
          <w:color w:val="000F2E"/>
        </w:rPr>
        <w:t xml:space="preserve"> da LA: estava aqui em causa uma norma supletiva (“caso as partes no contrato de mútuo não estabeleçam a taxa de juro”)</w:t>
      </w:r>
      <w:r w:rsidR="006744DC">
        <w:rPr>
          <w:rFonts w:ascii="Bookman Old Style" w:hAnsi="Bookman Old Style"/>
          <w:i/>
          <w:color w:val="000F2E"/>
        </w:rPr>
        <w:t xml:space="preserve">. Ora sendo uma norma supletiva, que se aplica se as partes nada estabelecerem, ela espelha a ideia do legislador sobre o facto/instituto pelo que, naturalmente, ao aprová-la, o legislador está a valora o facto. E haver </w:t>
      </w:r>
      <w:proofErr w:type="spellStart"/>
      <w:r w:rsidR="006744DC">
        <w:rPr>
          <w:rFonts w:ascii="Bookman Old Style" w:hAnsi="Bookman Old Style"/>
          <w:i/>
          <w:color w:val="000F2E"/>
        </w:rPr>
        <w:t>revaloração</w:t>
      </w:r>
      <w:proofErr w:type="spellEnd"/>
      <w:r w:rsidR="006744DC">
        <w:rPr>
          <w:rFonts w:ascii="Bookman Old Style" w:hAnsi="Bookman Old Style"/>
          <w:i/>
          <w:color w:val="000F2E"/>
        </w:rPr>
        <w:t xml:space="preserve"> o que se aplica é o artigo 12/2 1ª parte.</w:t>
      </w:r>
    </w:p>
    <w:p w:rsidR="006744DC" w:rsidRPr="006744DC" w:rsidRDefault="006744DC" w:rsidP="00166F27">
      <w:pPr>
        <w:spacing w:after="0" w:line="360" w:lineRule="auto"/>
        <w:ind w:firstLine="708"/>
        <w:jc w:val="both"/>
        <w:rPr>
          <w:rFonts w:ascii="Bookman Old Style" w:hAnsi="Bookman Old Style"/>
          <w:i/>
          <w:color w:val="000F2E"/>
        </w:rPr>
      </w:pPr>
    </w:p>
    <w:p w:rsidR="009A321F" w:rsidRPr="00636945" w:rsidRDefault="006B423A" w:rsidP="006B423A">
      <w:pPr>
        <w:spacing w:after="0" w:line="360" w:lineRule="auto"/>
        <w:ind w:firstLine="708"/>
        <w:jc w:val="center"/>
        <w:rPr>
          <w:rFonts w:ascii="Bookman Old Style" w:hAnsi="Bookman Old Style"/>
          <w:b/>
        </w:rPr>
      </w:pPr>
      <w:r w:rsidRPr="00636945">
        <w:rPr>
          <w:rFonts w:ascii="Bookman Old Style" w:hAnsi="Bookman Old Style"/>
          <w:b/>
        </w:rPr>
        <w:t>VI</w:t>
      </w:r>
    </w:p>
    <w:p w:rsidR="00AD7919" w:rsidRDefault="00636945" w:rsidP="006B423A">
      <w:pPr>
        <w:spacing w:after="0" w:line="360" w:lineRule="auto"/>
        <w:ind w:firstLine="708"/>
        <w:jc w:val="both"/>
        <w:rPr>
          <w:rFonts w:ascii="Bookman Old Style" w:hAnsi="Bookman Old Style"/>
        </w:rPr>
      </w:pPr>
      <w:r>
        <w:rPr>
          <w:rFonts w:ascii="Bookman Old Style" w:hAnsi="Bookman Old Style"/>
        </w:rPr>
        <w:t xml:space="preserve">O DL n. </w:t>
      </w:r>
      <w:proofErr w:type="gramStart"/>
      <w:r>
        <w:rPr>
          <w:rFonts w:ascii="Bookman Old Style" w:hAnsi="Bookman Old Style"/>
        </w:rPr>
        <w:t>x</w:t>
      </w:r>
      <w:proofErr w:type="gramEnd"/>
      <w:r>
        <w:rPr>
          <w:rFonts w:ascii="Bookman Old Style" w:hAnsi="Bookman Old Style"/>
        </w:rPr>
        <w:t xml:space="preserve">/2000, de 1 de janeiro, </w:t>
      </w:r>
      <w:r w:rsidR="00CB59F9">
        <w:rPr>
          <w:rFonts w:ascii="Bookman Old Style" w:hAnsi="Bookman Old Style"/>
        </w:rPr>
        <w:t>veio alterar o Código do Trabalh</w:t>
      </w:r>
      <w:r w:rsidR="00AD7919">
        <w:rPr>
          <w:rFonts w:ascii="Bookman Old Style" w:hAnsi="Bookman Old Style"/>
        </w:rPr>
        <w:t>o, introduzindo os seguintes preceitos: “</w:t>
      </w:r>
      <w:proofErr w:type="gramStart"/>
      <w:r w:rsidR="00AD7919" w:rsidRPr="00AD7919">
        <w:rPr>
          <w:rFonts w:ascii="Bookman Old Style" w:hAnsi="Bookman Old Style"/>
          <w:i/>
        </w:rPr>
        <w:t>(i</w:t>
      </w:r>
      <w:proofErr w:type="gramEnd"/>
      <w:r w:rsidR="00AD7919" w:rsidRPr="00AD7919">
        <w:rPr>
          <w:rFonts w:ascii="Bookman Old Style" w:hAnsi="Bookman Old Style"/>
          <w:i/>
        </w:rPr>
        <w:t>) o empregador deve garantir a realização de testes médicos a todos os trabalhadores da empresa, com frequência anual. (</w:t>
      </w:r>
      <w:proofErr w:type="spellStart"/>
      <w:r w:rsidR="00AD7919" w:rsidRPr="00AD7919">
        <w:rPr>
          <w:rFonts w:ascii="Bookman Old Style" w:hAnsi="Bookman Old Style"/>
          <w:i/>
        </w:rPr>
        <w:t>ii</w:t>
      </w:r>
      <w:proofErr w:type="spellEnd"/>
      <w:r w:rsidR="00AD7919" w:rsidRPr="00AD7919">
        <w:rPr>
          <w:rFonts w:ascii="Bookman Old Style" w:hAnsi="Bookman Old Style"/>
          <w:i/>
        </w:rPr>
        <w:t>) é obrigatória a contratação, por parte do empregador, de um seguro de acidentes de trabalho, que cubra os riscos dos trabalhadores</w:t>
      </w:r>
      <w:r w:rsidR="00AD7919">
        <w:rPr>
          <w:rFonts w:ascii="Bookman Old Style" w:hAnsi="Bookman Old Style"/>
        </w:rPr>
        <w:t>”.</w:t>
      </w:r>
    </w:p>
    <w:p w:rsidR="006B423A" w:rsidRDefault="00AD7919" w:rsidP="006B423A">
      <w:pPr>
        <w:spacing w:after="0" w:line="360" w:lineRule="auto"/>
        <w:ind w:firstLine="708"/>
        <w:jc w:val="both"/>
        <w:rPr>
          <w:rFonts w:ascii="Bookman Old Style" w:hAnsi="Bookman Old Style"/>
        </w:rPr>
      </w:pPr>
      <w:r>
        <w:rPr>
          <w:rFonts w:ascii="Bookman Old Style" w:hAnsi="Bookman Old Style"/>
        </w:rPr>
        <w:t>Até à data não existiam tais exigências.</w:t>
      </w:r>
    </w:p>
    <w:p w:rsidR="00AD7919" w:rsidRDefault="00AD7919" w:rsidP="006B423A">
      <w:pPr>
        <w:spacing w:after="0" w:line="360" w:lineRule="auto"/>
        <w:ind w:firstLine="708"/>
        <w:jc w:val="both"/>
        <w:rPr>
          <w:rFonts w:ascii="Bookman Old Style" w:hAnsi="Bookman Old Style"/>
        </w:rPr>
      </w:pPr>
      <w:r>
        <w:rPr>
          <w:rFonts w:ascii="Bookman Old Style" w:hAnsi="Bookman Old Style"/>
        </w:rPr>
        <w:t xml:space="preserve">Neste sentido, a sociedade “Tudo ao molho e fé em Deus, Lda.” que tem no seu quadro de pessoal 20 trabalhadores, o último dos quais contratado em janeiro de 1999, pretende saber se a nova lei se aplica apenas aos trabalhadores que venham a ser admitidos a partir do seu início de vigência, ou também aos que já fazem parte do quadro. </w:t>
      </w:r>
      <w:proofErr w:type="spellStart"/>
      <w:r w:rsidRPr="00AD7919">
        <w:rPr>
          <w:rFonts w:ascii="Bookman Old Style" w:hAnsi="Bookman Old Style"/>
          <w:i/>
        </w:rPr>
        <w:t>Quid</w:t>
      </w:r>
      <w:proofErr w:type="spellEnd"/>
      <w:r w:rsidRPr="00AD7919">
        <w:rPr>
          <w:rFonts w:ascii="Bookman Old Style" w:hAnsi="Bookman Old Style"/>
          <w:i/>
        </w:rPr>
        <w:t xml:space="preserve"> </w:t>
      </w:r>
      <w:proofErr w:type="spellStart"/>
      <w:r w:rsidRPr="00AD7919">
        <w:rPr>
          <w:rFonts w:ascii="Bookman Old Style" w:hAnsi="Bookman Old Style"/>
          <w:i/>
        </w:rPr>
        <w:t>iuris</w:t>
      </w:r>
      <w:proofErr w:type="spellEnd"/>
      <w:r w:rsidRPr="00AD7919">
        <w:rPr>
          <w:rFonts w:ascii="Bookman Old Style" w:hAnsi="Bookman Old Style"/>
          <w:i/>
        </w:rPr>
        <w:t>?</w:t>
      </w:r>
    </w:p>
    <w:p w:rsidR="00AD7919" w:rsidRDefault="00AD7919" w:rsidP="006B423A">
      <w:pPr>
        <w:spacing w:after="0" w:line="360" w:lineRule="auto"/>
        <w:ind w:firstLine="708"/>
        <w:jc w:val="both"/>
        <w:rPr>
          <w:rFonts w:ascii="Bookman Old Style" w:hAnsi="Bookman Old Style"/>
        </w:rPr>
      </w:pPr>
    </w:p>
    <w:p w:rsidR="006744DC" w:rsidRPr="006744DC" w:rsidRDefault="006744DC" w:rsidP="006B423A">
      <w:pPr>
        <w:spacing w:after="0" w:line="360" w:lineRule="auto"/>
        <w:ind w:firstLine="708"/>
        <w:jc w:val="both"/>
        <w:rPr>
          <w:rFonts w:ascii="Bookman Old Style" w:hAnsi="Bookman Old Style"/>
          <w:i/>
          <w:color w:val="000F2E"/>
        </w:rPr>
      </w:pPr>
      <w:r w:rsidRPr="006744DC">
        <w:rPr>
          <w:rFonts w:ascii="Bookman Old Style" w:hAnsi="Bookman Old Style"/>
          <w:i/>
          <w:color w:val="000F2E"/>
        </w:rPr>
        <w:t>Matéria: situações jurídicas duradouras e contrato de trabalho, o que aponta, à part</w:t>
      </w:r>
      <w:r>
        <w:rPr>
          <w:rFonts w:ascii="Bookman Old Style" w:hAnsi="Bookman Old Style"/>
          <w:i/>
          <w:color w:val="000F2E"/>
        </w:rPr>
        <w:t>ida</w:t>
      </w:r>
      <w:r w:rsidRPr="006744DC">
        <w:rPr>
          <w:rFonts w:ascii="Bookman Old Style" w:hAnsi="Bookman Old Style"/>
          <w:i/>
          <w:color w:val="000F2E"/>
        </w:rPr>
        <w:t xml:space="preserve">, </w:t>
      </w:r>
      <w:proofErr w:type="gramStart"/>
      <w:r w:rsidRPr="006744DC">
        <w:rPr>
          <w:rFonts w:ascii="Bookman Old Style" w:hAnsi="Bookman Old Style"/>
          <w:i/>
          <w:color w:val="000F2E"/>
        </w:rPr>
        <w:t>para</w:t>
      </w:r>
      <w:proofErr w:type="gramEnd"/>
      <w:r w:rsidRPr="006744DC">
        <w:rPr>
          <w:rFonts w:ascii="Bookman Old Style" w:hAnsi="Bookman Old Style"/>
          <w:i/>
          <w:color w:val="000F2E"/>
        </w:rPr>
        <w:t xml:space="preserve"> o artigo 12/2 2ª parte.</w:t>
      </w:r>
    </w:p>
    <w:p w:rsidR="008C7D11" w:rsidRDefault="006744DC" w:rsidP="006B423A">
      <w:pPr>
        <w:spacing w:after="0" w:line="360" w:lineRule="auto"/>
        <w:ind w:firstLine="708"/>
        <w:jc w:val="both"/>
        <w:rPr>
          <w:rFonts w:ascii="Bookman Old Style" w:hAnsi="Bookman Old Style"/>
          <w:i/>
          <w:color w:val="000F2E"/>
        </w:rPr>
      </w:pPr>
      <w:r>
        <w:rPr>
          <w:rFonts w:ascii="Bookman Old Style" w:hAnsi="Bookman Old Style"/>
          <w:i/>
          <w:color w:val="000F2E"/>
        </w:rPr>
        <w:t>Regista-se</w:t>
      </w:r>
      <w:r w:rsidRPr="006744DC">
        <w:rPr>
          <w:rFonts w:ascii="Bookman Old Style" w:hAnsi="Bookman Old Style"/>
          <w:i/>
          <w:color w:val="000F2E"/>
        </w:rPr>
        <w:t xml:space="preserve"> ainda outra particularidade que vem reforçar esse entendimento: a LN trata-se de lei que viva acautelar interesses sociais considerados relevantes (a segurança e proteção dos trabalhadores) e bem </w:t>
      </w:r>
      <w:r w:rsidRPr="006744DC">
        <w:rPr>
          <w:rFonts w:ascii="Bookman Old Style" w:hAnsi="Bookman Old Style"/>
          <w:i/>
          <w:color w:val="000F2E"/>
        </w:rPr>
        <w:lastRenderedPageBreak/>
        <w:t xml:space="preserve">assim proteger a parte mais fraca numa situação contratual (o trabalhador). Ora, nestes casos, tal LN é, em princípio, de aplicação imediata, </w:t>
      </w:r>
      <w:r>
        <w:rPr>
          <w:rFonts w:ascii="Bookman Old Style" w:hAnsi="Bookman Old Style"/>
          <w:i/>
          <w:color w:val="000F2E"/>
        </w:rPr>
        <w:t>como refere a doutrina</w:t>
      </w:r>
      <w:r>
        <w:rPr>
          <w:rStyle w:val="Refdenotaderodap"/>
          <w:rFonts w:ascii="Bookman Old Style" w:hAnsi="Bookman Old Style"/>
          <w:i/>
          <w:color w:val="000F2E"/>
        </w:rPr>
        <w:footnoteReference w:id="1"/>
      </w:r>
      <w:r>
        <w:rPr>
          <w:rFonts w:ascii="Bookman Old Style" w:hAnsi="Bookman Old Style"/>
          <w:i/>
          <w:color w:val="000F2E"/>
        </w:rPr>
        <w:t>, pois que, o contrário</w:t>
      </w:r>
      <w:proofErr w:type="gramStart"/>
      <w:r>
        <w:rPr>
          <w:rFonts w:ascii="Bookman Old Style" w:hAnsi="Bookman Old Style"/>
          <w:i/>
          <w:color w:val="000F2E"/>
        </w:rPr>
        <w:t>,</w:t>
      </w:r>
      <w:proofErr w:type="gramEnd"/>
      <w:r>
        <w:rPr>
          <w:rFonts w:ascii="Bookman Old Style" w:hAnsi="Bookman Old Style"/>
          <w:i/>
          <w:color w:val="000F2E"/>
        </w:rPr>
        <w:t xml:space="preserve"> frustraria em parte os seus objetivos. </w:t>
      </w:r>
    </w:p>
    <w:p w:rsidR="006744DC" w:rsidRPr="006744DC" w:rsidRDefault="006744DC" w:rsidP="006B423A">
      <w:pPr>
        <w:spacing w:after="0" w:line="360" w:lineRule="auto"/>
        <w:ind w:firstLine="708"/>
        <w:jc w:val="both"/>
        <w:rPr>
          <w:rFonts w:ascii="Bookman Old Style" w:hAnsi="Bookman Old Style"/>
          <w:i/>
          <w:color w:val="000F2E"/>
        </w:rPr>
      </w:pPr>
      <w:r>
        <w:rPr>
          <w:rFonts w:ascii="Bookman Old Style" w:hAnsi="Bookman Old Style"/>
          <w:i/>
          <w:color w:val="000F2E"/>
        </w:rPr>
        <w:t>Deve, no entanto, fazer-se passar esta “orientação de raciocínio doutrinária” pelo crivo do artigo 12.º: assim, verifica-se que</w:t>
      </w:r>
      <w:r w:rsidRPr="006744DC">
        <w:rPr>
          <w:rFonts w:ascii="Bookman Old Style" w:hAnsi="Bookman Old Style"/>
          <w:i/>
          <w:color w:val="000F2E"/>
        </w:rPr>
        <w:t xml:space="preserve"> </w:t>
      </w:r>
      <w:r>
        <w:rPr>
          <w:rFonts w:ascii="Bookman Old Style" w:hAnsi="Bookman Old Style"/>
          <w:i/>
          <w:color w:val="000F2E"/>
        </w:rPr>
        <w:t xml:space="preserve">as </w:t>
      </w:r>
      <w:r w:rsidRPr="006744DC">
        <w:rPr>
          <w:rFonts w:ascii="Bookman Old Style" w:hAnsi="Bookman Old Style"/>
          <w:i/>
          <w:color w:val="000F2E"/>
        </w:rPr>
        <w:t>valoraç</w:t>
      </w:r>
      <w:r>
        <w:rPr>
          <w:rFonts w:ascii="Bookman Old Style" w:hAnsi="Bookman Old Style"/>
          <w:i/>
          <w:color w:val="000F2E"/>
        </w:rPr>
        <w:t xml:space="preserve">ões </w:t>
      </w:r>
      <w:r w:rsidRPr="006744DC">
        <w:rPr>
          <w:rFonts w:ascii="Bookman Old Style" w:hAnsi="Bookman Old Style"/>
          <w:i/>
          <w:color w:val="000F2E"/>
        </w:rPr>
        <w:t>que</w:t>
      </w:r>
      <w:r>
        <w:rPr>
          <w:rFonts w:ascii="Bookman Old Style" w:hAnsi="Bookman Old Style"/>
          <w:i/>
          <w:color w:val="000F2E"/>
        </w:rPr>
        <w:t xml:space="preserve"> a LN</w:t>
      </w:r>
      <w:r w:rsidRPr="006744DC">
        <w:rPr>
          <w:rFonts w:ascii="Bookman Old Style" w:hAnsi="Bookman Old Style"/>
          <w:i/>
          <w:color w:val="000F2E"/>
        </w:rPr>
        <w:t xml:space="preserve"> comporta (ao justificarem-se por razões de interesse público,</w:t>
      </w:r>
      <w:r>
        <w:rPr>
          <w:rFonts w:ascii="Bookman Old Style" w:hAnsi="Bookman Old Style"/>
          <w:i/>
          <w:color w:val="000F2E"/>
        </w:rPr>
        <w:t xml:space="preserve"> </w:t>
      </w:r>
      <w:proofErr w:type="spellStart"/>
      <w:r w:rsidRPr="006744DC">
        <w:rPr>
          <w:rFonts w:ascii="Bookman Old Style" w:hAnsi="Bookman Old Style"/>
          <w:i/>
          <w:color w:val="000F2E"/>
        </w:rPr>
        <w:t>etc</w:t>
      </w:r>
      <w:proofErr w:type="spellEnd"/>
      <w:r w:rsidRPr="006744DC">
        <w:rPr>
          <w:rFonts w:ascii="Bookman Old Style" w:hAnsi="Bookman Old Style"/>
          <w:i/>
          <w:color w:val="000F2E"/>
        </w:rPr>
        <w:t xml:space="preserve">) são extrínsecas ao facto, abstraindo dele. Ora, quando há abstração do facto </w:t>
      </w:r>
      <w:r w:rsidR="008C7D11">
        <w:rPr>
          <w:rFonts w:ascii="Bookman Old Style" w:hAnsi="Bookman Old Style"/>
          <w:i/>
          <w:color w:val="000F2E"/>
        </w:rPr>
        <w:br/>
      </w:r>
      <w:proofErr w:type="gramStart"/>
      <w:r w:rsidRPr="006744DC">
        <w:rPr>
          <w:rFonts w:ascii="Bookman Old Style" w:hAnsi="Bookman Old Style"/>
          <w:i/>
          <w:color w:val="000F2E"/>
        </w:rPr>
        <w:t>aplica-se</w:t>
      </w:r>
      <w:proofErr w:type="gramEnd"/>
      <w:r w:rsidRPr="006744DC">
        <w:rPr>
          <w:rFonts w:ascii="Bookman Old Style" w:hAnsi="Bookman Old Style"/>
          <w:i/>
          <w:color w:val="000F2E"/>
        </w:rPr>
        <w:t xml:space="preserve"> o artigo 12/2 2ª parte</w:t>
      </w:r>
      <w:r>
        <w:rPr>
          <w:rFonts w:ascii="Bookman Old Style" w:hAnsi="Bookman Old Style"/>
          <w:i/>
          <w:color w:val="000F2E"/>
        </w:rPr>
        <w:t xml:space="preserve"> </w:t>
      </w:r>
      <w:r w:rsidRPr="006744DC">
        <w:rPr>
          <w:rFonts w:ascii="Bookman Old Style" w:hAnsi="Bookman Old Style"/>
          <w:i/>
          <w:color w:val="000F2E"/>
        </w:rPr>
        <w:t xml:space="preserve"> </w:t>
      </w:r>
      <w:r>
        <w:rPr>
          <w:rFonts w:ascii="Bookman Old Style" w:hAnsi="Bookman Old Style"/>
          <w:i/>
          <w:color w:val="000F2E"/>
        </w:rPr>
        <w:t>(</w:t>
      </w:r>
      <w:r w:rsidRPr="006744DC">
        <w:rPr>
          <w:rFonts w:ascii="Bookman Old Style" w:hAnsi="Bookman Old Style"/>
          <w:i/>
          <w:color w:val="000F2E"/>
        </w:rPr>
        <w:t>aplicação imediata da LN</w:t>
      </w:r>
      <w:r>
        <w:rPr>
          <w:rFonts w:ascii="Bookman Old Style" w:hAnsi="Bookman Old Style"/>
          <w:i/>
          <w:color w:val="000F2E"/>
        </w:rPr>
        <w:t>), confirmando-se, por isso, a leitura inicial.</w:t>
      </w:r>
    </w:p>
    <w:p w:rsidR="006744DC" w:rsidRPr="006744DC" w:rsidRDefault="006744DC" w:rsidP="006B423A">
      <w:pPr>
        <w:spacing w:after="0" w:line="360" w:lineRule="auto"/>
        <w:ind w:firstLine="708"/>
        <w:jc w:val="both"/>
        <w:rPr>
          <w:rFonts w:ascii="Bookman Old Style" w:hAnsi="Bookman Old Style"/>
          <w:color w:val="000F2E"/>
        </w:rPr>
      </w:pPr>
    </w:p>
    <w:p w:rsidR="00AD7919" w:rsidRPr="00AD7919" w:rsidRDefault="00AD7919" w:rsidP="00AD7919">
      <w:pPr>
        <w:spacing w:after="0" w:line="360" w:lineRule="auto"/>
        <w:ind w:firstLine="708"/>
        <w:jc w:val="center"/>
        <w:rPr>
          <w:rFonts w:ascii="Bookman Old Style" w:hAnsi="Bookman Old Style"/>
          <w:b/>
        </w:rPr>
      </w:pPr>
      <w:r w:rsidRPr="00AD7919">
        <w:rPr>
          <w:rFonts w:ascii="Bookman Old Style" w:hAnsi="Bookman Old Style"/>
          <w:b/>
        </w:rPr>
        <w:t>VII</w:t>
      </w:r>
    </w:p>
    <w:p w:rsidR="001A69FA" w:rsidRDefault="001A69FA" w:rsidP="00AD7919">
      <w:pPr>
        <w:spacing w:after="0" w:line="360" w:lineRule="auto"/>
        <w:ind w:firstLine="708"/>
        <w:jc w:val="both"/>
        <w:rPr>
          <w:rFonts w:ascii="Bookman Old Style" w:hAnsi="Bookman Old Style"/>
        </w:rPr>
      </w:pPr>
      <w:r>
        <w:rPr>
          <w:rFonts w:ascii="Bookman Old Style" w:hAnsi="Bookman Old Style"/>
        </w:rPr>
        <w:t xml:space="preserve"> Nos termos da Lei 1</w:t>
      </w:r>
      <w:r w:rsidR="002630DB">
        <w:rPr>
          <w:rFonts w:ascii="Bookman Old Style" w:hAnsi="Bookman Old Style"/>
        </w:rPr>
        <w:t xml:space="preserve"> de 1 de janeiro de 1966: “</w:t>
      </w:r>
      <w:proofErr w:type="gramStart"/>
      <w:r w:rsidR="002630DB" w:rsidRPr="002630DB">
        <w:rPr>
          <w:rFonts w:ascii="Bookman Old Style" w:hAnsi="Bookman Old Style"/>
          <w:i/>
        </w:rPr>
        <w:t>(i</w:t>
      </w:r>
      <w:proofErr w:type="gramEnd"/>
      <w:r w:rsidR="002630DB" w:rsidRPr="002630DB">
        <w:rPr>
          <w:rFonts w:ascii="Bookman Old Style" w:hAnsi="Bookman Old Style"/>
          <w:i/>
        </w:rPr>
        <w:t>) os cônjuges estão reciprocamente vinculados pelos deveres de respeito, fidelidade, coabitação, cooperação e assistência; (</w:t>
      </w:r>
      <w:proofErr w:type="spellStart"/>
      <w:r w:rsidR="002630DB" w:rsidRPr="002630DB">
        <w:rPr>
          <w:rFonts w:ascii="Bookman Old Style" w:hAnsi="Bookman Old Style"/>
          <w:i/>
        </w:rPr>
        <w:t>ii</w:t>
      </w:r>
      <w:proofErr w:type="spellEnd"/>
      <w:r w:rsidR="002630DB" w:rsidRPr="002630DB">
        <w:rPr>
          <w:rFonts w:ascii="Bookman Old Style" w:hAnsi="Bookman Old Style"/>
          <w:i/>
        </w:rPr>
        <w:t>) a violação culposa de qualquer destes deveres, por parte de um cônjuge, constitui fundamento de divórcio litigioso, a requerer pelo outro cônjuge</w:t>
      </w:r>
      <w:r w:rsidR="002630DB">
        <w:rPr>
          <w:rFonts w:ascii="Bookman Old Style" w:hAnsi="Bookman Old Style"/>
        </w:rPr>
        <w:t>”.</w:t>
      </w:r>
    </w:p>
    <w:p w:rsidR="002630DB" w:rsidRDefault="002630DB" w:rsidP="00AD7919">
      <w:pPr>
        <w:spacing w:after="0" w:line="360" w:lineRule="auto"/>
        <w:ind w:firstLine="708"/>
        <w:jc w:val="both"/>
        <w:rPr>
          <w:rFonts w:ascii="Bookman Old Style" w:hAnsi="Bookman Old Style"/>
        </w:rPr>
      </w:pPr>
      <w:r>
        <w:rPr>
          <w:rFonts w:ascii="Bookman Old Style" w:hAnsi="Bookman Old Style"/>
        </w:rPr>
        <w:t xml:space="preserve">Diversamente, a Lei 2, de 1 de janeiro de 2012 vem eliminar o referido dever de fidelidade. </w:t>
      </w:r>
    </w:p>
    <w:p w:rsidR="002630DB" w:rsidRDefault="002630DB" w:rsidP="002630DB">
      <w:pPr>
        <w:spacing w:after="0" w:line="360" w:lineRule="auto"/>
        <w:ind w:firstLine="708"/>
        <w:jc w:val="both"/>
        <w:rPr>
          <w:rFonts w:ascii="Bookman Old Style" w:hAnsi="Bookman Old Style"/>
        </w:rPr>
      </w:pPr>
      <w:r>
        <w:rPr>
          <w:rFonts w:ascii="Bookman Old Style" w:hAnsi="Bookman Old Style"/>
        </w:rPr>
        <w:t>MARÍLIA e ZEZÉ casaram em Portimão, no dia 25 de abril de 2010.</w:t>
      </w:r>
    </w:p>
    <w:p w:rsidR="002630DB" w:rsidRDefault="002630DB" w:rsidP="002630DB">
      <w:pPr>
        <w:spacing w:after="0" w:line="360" w:lineRule="auto"/>
        <w:ind w:firstLine="708"/>
        <w:jc w:val="both"/>
        <w:rPr>
          <w:rFonts w:ascii="Bookman Old Style" w:hAnsi="Bookman Old Style"/>
        </w:rPr>
      </w:pPr>
      <w:r>
        <w:rPr>
          <w:rFonts w:ascii="Bookman Old Style" w:hAnsi="Bookman Old Style"/>
        </w:rPr>
        <w:t>O casamento entrou “em crise” em finais de 2011, e a partir de meados de março de 2012, ZEZÉ iniciou uma relação adulterina com OLGA, embora não pretenda divorciar-se de MARÍLIA, a quem ainda ama muito.</w:t>
      </w:r>
    </w:p>
    <w:p w:rsidR="002630DB" w:rsidRDefault="002630DB" w:rsidP="002630DB">
      <w:pPr>
        <w:spacing w:after="0" w:line="360" w:lineRule="auto"/>
        <w:ind w:firstLine="708"/>
        <w:jc w:val="both"/>
        <w:rPr>
          <w:rFonts w:ascii="Bookman Old Style" w:hAnsi="Bookman Old Style"/>
        </w:rPr>
      </w:pPr>
      <w:r>
        <w:rPr>
          <w:rFonts w:ascii="Bookman Old Style" w:hAnsi="Bookman Old Style"/>
        </w:rPr>
        <w:t xml:space="preserve">MARÍLIA descobriu tudo, em 23 de março de 2012 e pretende </w:t>
      </w:r>
      <w:r>
        <w:rPr>
          <w:rFonts w:ascii="Bookman Old Style" w:hAnsi="Bookman Old Style"/>
        </w:rPr>
        <w:br/>
      </w:r>
      <w:proofErr w:type="gramStart"/>
      <w:r>
        <w:rPr>
          <w:rFonts w:ascii="Bookman Old Style" w:hAnsi="Bookman Old Style"/>
        </w:rPr>
        <w:t>divorciar-se</w:t>
      </w:r>
      <w:proofErr w:type="gramEnd"/>
      <w:r>
        <w:rPr>
          <w:rFonts w:ascii="Bookman Old Style" w:hAnsi="Bookman Old Style"/>
        </w:rPr>
        <w:t xml:space="preserve"> de ZEZÉ; mas este afirma que não lhe assiste tal direito. </w:t>
      </w:r>
      <w:r>
        <w:rPr>
          <w:rFonts w:ascii="Bookman Old Style" w:hAnsi="Bookman Old Style"/>
          <w:i/>
        </w:rPr>
        <w:t>O que lhe parece?</w:t>
      </w:r>
    </w:p>
    <w:p w:rsidR="001A69FA" w:rsidRPr="008C7D11" w:rsidRDefault="001A69FA" w:rsidP="00AD7919">
      <w:pPr>
        <w:spacing w:after="0" w:line="360" w:lineRule="auto"/>
        <w:ind w:firstLine="708"/>
        <w:jc w:val="both"/>
        <w:rPr>
          <w:rFonts w:ascii="Bookman Old Style" w:hAnsi="Bookman Old Style"/>
          <w:i/>
        </w:rPr>
      </w:pPr>
    </w:p>
    <w:p w:rsidR="008C7D11" w:rsidRDefault="008C7D11" w:rsidP="00AD7919">
      <w:pPr>
        <w:spacing w:after="0" w:line="360" w:lineRule="auto"/>
        <w:ind w:firstLine="708"/>
        <w:jc w:val="both"/>
        <w:rPr>
          <w:rFonts w:ascii="Bookman Old Style" w:hAnsi="Bookman Old Style"/>
          <w:i/>
          <w:color w:val="000F2E"/>
        </w:rPr>
      </w:pPr>
      <w:r w:rsidRPr="008C7D11">
        <w:rPr>
          <w:rFonts w:ascii="Bookman Old Style" w:hAnsi="Bookman Old Style"/>
          <w:i/>
          <w:color w:val="000F2E"/>
        </w:rPr>
        <w:t xml:space="preserve">Matéria: situações jurídico-familiares (direitos e deveres das “partes”/dos cônjuges no quadro de casamento), e situações jurídicas de execução duradoura/continuada. </w:t>
      </w:r>
      <w:r>
        <w:rPr>
          <w:rFonts w:ascii="Bookman Old Style" w:hAnsi="Bookman Old Style"/>
          <w:i/>
          <w:color w:val="000F2E"/>
        </w:rPr>
        <w:t xml:space="preserve">Tudo apontaria, por isso, para que a LN viesse dispor sobre o conteúdo de uma situação jurídica abstraindo do facto que lhe deu origem – o casamento – sendo de aplicação imediata, nos termos do artigo 12.º/2 2.ª parte. </w:t>
      </w:r>
    </w:p>
    <w:p w:rsidR="008C7D11" w:rsidRDefault="008C7D11" w:rsidP="00AD7919">
      <w:pPr>
        <w:spacing w:after="0" w:line="360" w:lineRule="auto"/>
        <w:ind w:firstLine="708"/>
        <w:jc w:val="both"/>
        <w:rPr>
          <w:rFonts w:ascii="Bookman Old Style" w:hAnsi="Bookman Old Style"/>
          <w:i/>
          <w:color w:val="000F2E"/>
        </w:rPr>
      </w:pPr>
      <w:r>
        <w:rPr>
          <w:rFonts w:ascii="Bookman Old Style" w:hAnsi="Bookman Old Style"/>
          <w:i/>
          <w:color w:val="000F2E"/>
        </w:rPr>
        <w:lastRenderedPageBreak/>
        <w:t>Porém, se pensarmos com cuidado, um casamento com dever de fidelidade, é visceralmente diferente de um casamento onde tal dever não exista, pelo que, ao eliminar esse dever, a LN vem revelar uma nova ideia, uma nova filosofia sobre o instituto do casamento. Quando assim é, verifica-se que a LN está, efetivamente, a “</w:t>
      </w:r>
      <w:proofErr w:type="spellStart"/>
      <w:r>
        <w:rPr>
          <w:rFonts w:ascii="Bookman Old Style" w:hAnsi="Bookman Old Style"/>
          <w:i/>
          <w:color w:val="000F2E"/>
        </w:rPr>
        <w:t>revalorar</w:t>
      </w:r>
      <w:proofErr w:type="spellEnd"/>
      <w:r>
        <w:rPr>
          <w:rFonts w:ascii="Bookman Old Style" w:hAnsi="Bookman Old Style"/>
          <w:i/>
          <w:color w:val="000F2E"/>
        </w:rPr>
        <w:t>” o facto, não abstraindo dele, não se podendo por isso aplicar o artigo 12/2 2º parte, mas a primeira parte. Logo: o casamento de M e Z continua a reger-se pela LA (</w:t>
      </w:r>
      <w:proofErr w:type="spellStart"/>
      <w:r>
        <w:rPr>
          <w:rFonts w:ascii="Bookman Old Style" w:hAnsi="Bookman Old Style"/>
          <w:i/>
          <w:color w:val="000F2E"/>
        </w:rPr>
        <w:t>sobrevigência</w:t>
      </w:r>
      <w:proofErr w:type="spellEnd"/>
      <w:r>
        <w:rPr>
          <w:rFonts w:ascii="Bookman Old Style" w:hAnsi="Bookman Old Style"/>
          <w:i/>
          <w:color w:val="000F2E"/>
        </w:rPr>
        <w:t xml:space="preserve"> da LA).</w:t>
      </w:r>
    </w:p>
    <w:p w:rsidR="008C7D11" w:rsidRPr="008C7D11" w:rsidRDefault="008C7D11" w:rsidP="00AD7919">
      <w:pPr>
        <w:spacing w:after="0" w:line="360" w:lineRule="auto"/>
        <w:ind w:firstLine="708"/>
        <w:jc w:val="both"/>
        <w:rPr>
          <w:rFonts w:ascii="Bookman Old Style" w:hAnsi="Bookman Old Style"/>
          <w:i/>
          <w:color w:val="000F2E"/>
        </w:rPr>
      </w:pPr>
      <w:r>
        <w:rPr>
          <w:rFonts w:ascii="Bookman Old Style" w:hAnsi="Bookman Old Style"/>
          <w:i/>
          <w:color w:val="000F2E"/>
        </w:rPr>
        <w:t xml:space="preserve">CONLUSÃO – aparentemente seria de aplicar o artigo 12/2 2ª parte; porém, feito o “teste da </w:t>
      </w:r>
      <w:proofErr w:type="spellStart"/>
      <w:r>
        <w:rPr>
          <w:rFonts w:ascii="Bookman Old Style" w:hAnsi="Bookman Old Style"/>
          <w:i/>
          <w:color w:val="000F2E"/>
        </w:rPr>
        <w:t>revaloração</w:t>
      </w:r>
      <w:proofErr w:type="spellEnd"/>
      <w:r>
        <w:rPr>
          <w:rFonts w:ascii="Bookman Old Style" w:hAnsi="Bookman Old Style"/>
          <w:i/>
          <w:color w:val="000F2E"/>
        </w:rPr>
        <w:t>” conclui-se que o casamento foi “</w:t>
      </w:r>
      <w:proofErr w:type="spellStart"/>
      <w:r>
        <w:rPr>
          <w:rFonts w:ascii="Bookman Old Style" w:hAnsi="Bookman Old Style"/>
          <w:i/>
          <w:color w:val="000F2E"/>
        </w:rPr>
        <w:t>revalorado</w:t>
      </w:r>
      <w:proofErr w:type="spellEnd"/>
      <w:r>
        <w:rPr>
          <w:rFonts w:ascii="Bookman Old Style" w:hAnsi="Bookman Old Style"/>
          <w:i/>
          <w:color w:val="000F2E"/>
        </w:rPr>
        <w:t>” pelo legislador, aplicando-se, afinal a 1ª parte do artigo 12/2. Isto chama-nos a atenção para que a categoria das situações e o facto de serem de execução instantânea ou duradoura, são apenas “pistas” a testar no caso concreto; não critérios de solução absolutos!</w:t>
      </w:r>
    </w:p>
    <w:sectPr w:rsidR="008C7D11" w:rsidRPr="008C7D11" w:rsidSect="007476E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993" w:rsidRDefault="00D86993">
      <w:pPr>
        <w:spacing w:after="0" w:line="240" w:lineRule="auto"/>
      </w:pPr>
      <w:r>
        <w:separator/>
      </w:r>
    </w:p>
  </w:endnote>
  <w:endnote w:type="continuationSeparator" w:id="0">
    <w:p w:rsidR="00D86993" w:rsidRDefault="00D86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9661"/>
      <w:docPartObj>
        <w:docPartGallery w:val="Page Numbers (Bottom of Page)"/>
        <w:docPartUnique/>
      </w:docPartObj>
    </w:sdtPr>
    <w:sdtContent>
      <w:p w:rsidR="00B359A6" w:rsidRDefault="00B359A6">
        <w:pPr>
          <w:pStyle w:val="Rodap"/>
          <w:jc w:val="center"/>
        </w:pPr>
        <w:r w:rsidRPr="00646F05">
          <w:rPr>
            <w:rFonts w:ascii="Bookman Old Style" w:hAnsi="Bookman Old Style"/>
          </w:rPr>
          <w:fldChar w:fldCharType="begin"/>
        </w:r>
        <w:r w:rsidRPr="00646F05">
          <w:rPr>
            <w:rFonts w:ascii="Bookman Old Style" w:hAnsi="Bookman Old Style"/>
          </w:rPr>
          <w:instrText xml:space="preserve"> PAGE   \* MERGEFORMAT </w:instrText>
        </w:r>
        <w:r w:rsidRPr="00646F05">
          <w:rPr>
            <w:rFonts w:ascii="Bookman Old Style" w:hAnsi="Bookman Old Style"/>
          </w:rPr>
          <w:fldChar w:fldCharType="separate"/>
        </w:r>
        <w:r w:rsidR="00F62109">
          <w:rPr>
            <w:rFonts w:ascii="Bookman Old Style" w:hAnsi="Bookman Old Style"/>
            <w:noProof/>
          </w:rPr>
          <w:t>8</w:t>
        </w:r>
        <w:r w:rsidRPr="00646F05">
          <w:rPr>
            <w:rFonts w:ascii="Bookman Old Style" w:hAnsi="Bookman Old Style"/>
          </w:rPr>
          <w:fldChar w:fldCharType="end"/>
        </w:r>
      </w:p>
    </w:sdtContent>
  </w:sdt>
  <w:p w:rsidR="00B359A6" w:rsidRDefault="00B359A6" w:rsidP="003C52D5">
    <w:pPr>
      <w:pStyle w:val="Rodap"/>
      <w:pBdr>
        <w:bottom w:val="single" w:sz="4" w:space="1" w:color="auto"/>
      </w:pBdr>
      <w:tabs>
        <w:tab w:val="clear" w:pos="4252"/>
        <w:tab w:val="clear" w:pos="8504"/>
        <w:tab w:val="left" w:pos="512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993" w:rsidRDefault="00D86993">
      <w:pPr>
        <w:spacing w:after="0" w:line="240" w:lineRule="auto"/>
      </w:pPr>
      <w:r>
        <w:separator/>
      </w:r>
    </w:p>
  </w:footnote>
  <w:footnote w:type="continuationSeparator" w:id="0">
    <w:p w:rsidR="00D86993" w:rsidRDefault="00D86993">
      <w:pPr>
        <w:spacing w:after="0" w:line="240" w:lineRule="auto"/>
      </w:pPr>
      <w:r>
        <w:continuationSeparator/>
      </w:r>
    </w:p>
  </w:footnote>
  <w:footnote w:id="1">
    <w:p w:rsidR="00B359A6" w:rsidRDefault="00B359A6" w:rsidP="008C7D11">
      <w:pPr>
        <w:pStyle w:val="Textodenotaderodap"/>
        <w:jc w:val="both"/>
      </w:pPr>
      <w:r>
        <w:rPr>
          <w:rStyle w:val="Refdenotaderodap"/>
        </w:rPr>
        <w:footnoteRef/>
      </w:r>
      <w:r>
        <w:t xml:space="preserve"> BAPTISTA MACHADO (cf. p. 242) considera, no entanto, que o legislador deve ser previdente, declarando a LN aplicável aos contratos em curso quando seja essa a sua intenção. Porém, se não o fizer, essa é em qualquer caso a solução, se passar no crivo do artigo 12.º/2 2ª parte.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A6" w:rsidRPr="003C52D5" w:rsidRDefault="00B359A6" w:rsidP="003C52D5">
    <w:pPr>
      <w:pStyle w:val="Cabealho"/>
      <w:pBdr>
        <w:bottom w:val="single" w:sz="4" w:space="1" w:color="auto"/>
      </w:pBdr>
      <w:jc w:val="center"/>
      <w:rPr>
        <w:rFonts w:ascii="Bookman Old Style" w:hAnsi="Bookman Old Style"/>
        <w:i/>
      </w:rPr>
    </w:pPr>
    <w:r>
      <w:rPr>
        <w:rFonts w:ascii="Bookman Old Style" w:hAnsi="Bookman Old Style"/>
        <w:i/>
      </w:rPr>
      <w:t>Casos Práticos de Introdução ao Estudo do Direito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B3B"/>
    <w:multiLevelType w:val="hybridMultilevel"/>
    <w:tmpl w:val="6BD2D61C"/>
    <w:lvl w:ilvl="0" w:tplc="1848DC98">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nsid w:val="237C0DE7"/>
    <w:multiLevelType w:val="hybridMultilevel"/>
    <w:tmpl w:val="DC4857F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68C006C"/>
    <w:multiLevelType w:val="multilevel"/>
    <w:tmpl w:val="C4E879FE"/>
    <w:lvl w:ilvl="0">
      <w:start w:val="1"/>
      <w:numFmt w:val="decimal"/>
      <w:lvlText w:val="%1."/>
      <w:lvlJc w:val="left"/>
      <w:pPr>
        <w:ind w:left="480" w:hanging="48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3">
    <w:nsid w:val="4D4B774C"/>
    <w:multiLevelType w:val="hybridMultilevel"/>
    <w:tmpl w:val="0E0AFDAA"/>
    <w:lvl w:ilvl="0" w:tplc="99E4429E">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4">
    <w:nsid w:val="521F36E3"/>
    <w:multiLevelType w:val="hybridMultilevel"/>
    <w:tmpl w:val="C06C6558"/>
    <w:lvl w:ilvl="0" w:tplc="31642F0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5B743E18"/>
    <w:multiLevelType w:val="hybridMultilevel"/>
    <w:tmpl w:val="92008DC4"/>
    <w:lvl w:ilvl="0" w:tplc="08160017">
      <w:start w:val="1"/>
      <w:numFmt w:val="lowerLetter"/>
      <w:lvlText w:val="%1)"/>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6">
    <w:nsid w:val="5D7C3618"/>
    <w:multiLevelType w:val="hybridMultilevel"/>
    <w:tmpl w:val="E2D216D4"/>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33245"/>
    <w:rsid w:val="00133F84"/>
    <w:rsid w:val="001658CD"/>
    <w:rsid w:val="00166F27"/>
    <w:rsid w:val="001A69FA"/>
    <w:rsid w:val="002630DB"/>
    <w:rsid w:val="00322F81"/>
    <w:rsid w:val="003C52D5"/>
    <w:rsid w:val="003F3D85"/>
    <w:rsid w:val="004E439E"/>
    <w:rsid w:val="00584835"/>
    <w:rsid w:val="0062598A"/>
    <w:rsid w:val="00633168"/>
    <w:rsid w:val="00636945"/>
    <w:rsid w:val="006744DC"/>
    <w:rsid w:val="006B423A"/>
    <w:rsid w:val="00713444"/>
    <w:rsid w:val="007476E8"/>
    <w:rsid w:val="007B75EB"/>
    <w:rsid w:val="00824E52"/>
    <w:rsid w:val="008556A4"/>
    <w:rsid w:val="0087575F"/>
    <w:rsid w:val="008C7D11"/>
    <w:rsid w:val="00933245"/>
    <w:rsid w:val="00993E46"/>
    <w:rsid w:val="009A321F"/>
    <w:rsid w:val="00AA6730"/>
    <w:rsid w:val="00AD7919"/>
    <w:rsid w:val="00B359A6"/>
    <w:rsid w:val="00C73E99"/>
    <w:rsid w:val="00CA7FDD"/>
    <w:rsid w:val="00CB59F9"/>
    <w:rsid w:val="00CE0EB6"/>
    <w:rsid w:val="00D85AB0"/>
    <w:rsid w:val="00D86993"/>
    <w:rsid w:val="00EC57D0"/>
    <w:rsid w:val="00ED35F1"/>
    <w:rsid w:val="00F6210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4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unhideWhenUsed/>
    <w:rsid w:val="0093324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33245"/>
  </w:style>
  <w:style w:type="paragraph" w:styleId="Textodenotaderodap">
    <w:name w:val="footnote text"/>
    <w:basedOn w:val="Normal"/>
    <w:link w:val="TextodenotaderodapCarcter"/>
    <w:uiPriority w:val="99"/>
    <w:semiHidden/>
    <w:unhideWhenUsed/>
    <w:rsid w:val="00166F2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66F27"/>
    <w:rPr>
      <w:sz w:val="20"/>
      <w:szCs w:val="20"/>
    </w:rPr>
  </w:style>
  <w:style w:type="character" w:styleId="Refdenotaderodap">
    <w:name w:val="footnote reference"/>
    <w:basedOn w:val="Tipodeletrapredefinidodopargrafo"/>
    <w:uiPriority w:val="99"/>
    <w:semiHidden/>
    <w:unhideWhenUsed/>
    <w:rsid w:val="00166F27"/>
    <w:rPr>
      <w:vertAlign w:val="superscript"/>
    </w:rPr>
  </w:style>
  <w:style w:type="paragraph" w:styleId="PargrafodaLista">
    <w:name w:val="List Paragraph"/>
    <w:basedOn w:val="Normal"/>
    <w:uiPriority w:val="34"/>
    <w:qFormat/>
    <w:rsid w:val="00166F27"/>
    <w:pPr>
      <w:ind w:left="720"/>
      <w:contextualSpacing/>
    </w:pPr>
  </w:style>
  <w:style w:type="paragraph" w:styleId="Cabealho">
    <w:name w:val="header"/>
    <w:basedOn w:val="Normal"/>
    <w:link w:val="CabealhoCarcter"/>
    <w:uiPriority w:val="99"/>
    <w:semiHidden/>
    <w:unhideWhenUsed/>
    <w:rsid w:val="003C52D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3C52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896EF-BD3C-421A-A72D-3CB90292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8</Pages>
  <Words>2321</Words>
  <Characters>12538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Utilizador</cp:lastModifiedBy>
  <cp:revision>10</cp:revision>
  <dcterms:created xsi:type="dcterms:W3CDTF">2012-03-22T13:41:00Z</dcterms:created>
  <dcterms:modified xsi:type="dcterms:W3CDTF">2012-04-15T13:10:00Z</dcterms:modified>
</cp:coreProperties>
</file>