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65" w:rsidRDefault="00AF528D" w:rsidP="00AF528D">
      <w:pPr>
        <w:jc w:val="center"/>
        <w:rPr>
          <w:b/>
          <w:sz w:val="32"/>
        </w:rPr>
      </w:pPr>
      <w:r>
        <w:rPr>
          <w:b/>
          <w:sz w:val="32"/>
        </w:rPr>
        <w:t>Aulas Teóricas</w:t>
      </w:r>
    </w:p>
    <w:p w:rsidR="00AF528D" w:rsidRDefault="00AF528D" w:rsidP="00AF528D">
      <w:pPr>
        <w:jc w:val="center"/>
        <w:rPr>
          <w:b/>
          <w:sz w:val="32"/>
        </w:rPr>
      </w:pPr>
    </w:p>
    <w:p w:rsidR="00AF528D" w:rsidRDefault="00AF528D" w:rsidP="00AF528D">
      <w:pPr>
        <w:jc w:val="both"/>
        <w:rPr>
          <w:b/>
          <w:u w:val="single"/>
        </w:rPr>
      </w:pPr>
      <w:r w:rsidRPr="00AF528D">
        <w:rPr>
          <w:b/>
          <w:u w:val="single"/>
        </w:rPr>
        <w:t>Sucessão de leis no tempo</w:t>
      </w:r>
    </w:p>
    <w:p w:rsidR="00AF528D" w:rsidRDefault="00AF528D" w:rsidP="00AF528D">
      <w:pPr>
        <w:jc w:val="both"/>
      </w:pPr>
      <w:r>
        <w:t>- A lei nova vem proibir um facto que a lei antiga permitia – a lei nova é retroactiva ou só dispõe para o futuro?</w:t>
      </w:r>
    </w:p>
    <w:p w:rsidR="00AF528D" w:rsidRDefault="00AF528D" w:rsidP="00AF528D">
      <w:pPr>
        <w:jc w:val="both"/>
      </w:pPr>
      <w:r>
        <w:tab/>
        <w:t>- Quando uma lei nova entra em vigor ela pode atingir factos jurídicos, efeitos jurídicos e situações jurídicas no domínio da vigência da lei revogada</w:t>
      </w:r>
    </w:p>
    <w:p w:rsidR="00AF528D" w:rsidRDefault="00AF528D" w:rsidP="00AF528D">
      <w:pPr>
        <w:jc w:val="both"/>
      </w:pPr>
    </w:p>
    <w:p w:rsidR="00AF528D" w:rsidRDefault="00AF528D" w:rsidP="00AF528D">
      <w:pPr>
        <w:jc w:val="both"/>
      </w:pPr>
      <w:r>
        <w:rPr>
          <w:u w:val="single"/>
        </w:rPr>
        <w:t>Facto Jurídico</w:t>
      </w:r>
      <w:r>
        <w:t xml:space="preserve"> – qualquer evento que desencadeia efeitos jurídicos </w:t>
      </w:r>
    </w:p>
    <w:p w:rsidR="00AF528D" w:rsidRDefault="00AF528D" w:rsidP="00AF528D">
      <w:pPr>
        <w:jc w:val="both"/>
      </w:pPr>
      <w:proofErr w:type="gramStart"/>
      <w:r w:rsidRPr="00AF528D">
        <w:rPr>
          <w:highlight w:val="cyan"/>
        </w:rPr>
        <w:t>Ex.</w:t>
      </w:r>
      <w:proofErr w:type="gramEnd"/>
      <w:r w:rsidRPr="00AF528D">
        <w:rPr>
          <w:highlight w:val="cyan"/>
        </w:rPr>
        <w:t>:</w:t>
      </w:r>
      <w:r>
        <w:t xml:space="preserve"> Morte de alguém, contrato de compra e venda</w:t>
      </w:r>
    </w:p>
    <w:p w:rsidR="00AF528D" w:rsidRDefault="00AF528D" w:rsidP="00AF528D">
      <w:pPr>
        <w:jc w:val="both"/>
      </w:pPr>
      <w:r>
        <w:rPr>
          <w:u w:val="single"/>
        </w:rPr>
        <w:t>Efeitos Jurídicos</w:t>
      </w:r>
      <w:r>
        <w:t xml:space="preserve"> – constituição, transmissão, modificação ou extinção de situações jurídicas (direitos e deveres)</w:t>
      </w:r>
    </w:p>
    <w:p w:rsidR="00AF528D" w:rsidRDefault="00AF528D" w:rsidP="00AF528D">
      <w:pPr>
        <w:jc w:val="both"/>
      </w:pPr>
      <w:r>
        <w:rPr>
          <w:u w:val="single"/>
        </w:rPr>
        <w:t>Situações Jurídicas</w:t>
      </w:r>
      <w:r>
        <w:t xml:space="preserve"> – posição jurídica de alguém</w:t>
      </w:r>
    </w:p>
    <w:p w:rsidR="00AF528D" w:rsidRDefault="00AF528D" w:rsidP="00AF528D">
      <w:pPr>
        <w:jc w:val="both"/>
      </w:pPr>
      <w:proofErr w:type="gramStart"/>
      <w:r w:rsidRPr="00AF528D">
        <w:rPr>
          <w:highlight w:val="cyan"/>
        </w:rPr>
        <w:t>Ex.</w:t>
      </w:r>
      <w:proofErr w:type="gramEnd"/>
      <w:r w:rsidRPr="00AF528D">
        <w:rPr>
          <w:highlight w:val="cyan"/>
        </w:rPr>
        <w:t>:</w:t>
      </w:r>
      <w:r>
        <w:t xml:space="preserve"> Direito subjectivo – à vida, à propriedade</w:t>
      </w:r>
    </w:p>
    <w:p w:rsidR="00AF528D" w:rsidRDefault="00AF528D" w:rsidP="00AF528D">
      <w:pPr>
        <w:jc w:val="both"/>
      </w:pPr>
    </w:p>
    <w:p w:rsidR="00AF528D" w:rsidRDefault="00AF528D" w:rsidP="00AF528D">
      <w:pPr>
        <w:jc w:val="both"/>
      </w:pPr>
      <w:proofErr w:type="gramStart"/>
      <w:r w:rsidRPr="00AF528D">
        <w:rPr>
          <w:highlight w:val="cyan"/>
        </w:rPr>
        <w:t>Ex.</w:t>
      </w:r>
      <w:proofErr w:type="gramEnd"/>
      <w:r w:rsidRPr="00AF528D">
        <w:rPr>
          <w:highlight w:val="cyan"/>
        </w:rPr>
        <w:t>:</w:t>
      </w:r>
      <w:r>
        <w:t xml:space="preserve"> celebramos um contrato de promessa em que a lei antiga permite livre forma. A lei nova obriga à existência de forma.</w:t>
      </w:r>
    </w:p>
    <w:p w:rsidR="00AF528D" w:rsidRDefault="00AF528D" w:rsidP="00AF528D">
      <w:pPr>
        <w:jc w:val="both"/>
      </w:pPr>
      <w:r>
        <w:t xml:space="preserve">Facto Jurídico – </w:t>
      </w:r>
      <w:proofErr w:type="gramStart"/>
      <w:r>
        <w:t>contrato</w:t>
      </w:r>
      <w:proofErr w:type="gramEnd"/>
      <w:r>
        <w:t>; Efeito Jurídico – transmissão da propriedade; Situação Jurídica – posse sobre algo</w:t>
      </w:r>
    </w:p>
    <w:p w:rsidR="00AF528D" w:rsidRDefault="00AF528D" w:rsidP="00AF528D">
      <w:pPr>
        <w:jc w:val="both"/>
      </w:pPr>
    </w:p>
    <w:p w:rsidR="00AF528D" w:rsidRDefault="00AF528D" w:rsidP="00AF528D">
      <w:pPr>
        <w:jc w:val="both"/>
      </w:pPr>
      <w:r>
        <w:t>- A lei nova só regula os factos, efeitos e situações jurídicas que são constituídos no domínio da sua vigência</w:t>
      </w:r>
    </w:p>
    <w:p w:rsidR="00AF528D" w:rsidRDefault="00AF528D" w:rsidP="00AF528D">
      <w:pPr>
        <w:jc w:val="both"/>
      </w:pPr>
      <w:r>
        <w:rPr>
          <w:b/>
        </w:rPr>
        <w:t>Direito Transitório</w:t>
      </w:r>
      <w:r>
        <w:t xml:space="preserve"> – assegura a passagem de vigência da lei antiga para a vigência da lei nova (regula a sucessão de leis no tempo)</w:t>
      </w:r>
    </w:p>
    <w:p w:rsidR="00AF528D" w:rsidRDefault="00AF528D" w:rsidP="00AF528D">
      <w:pPr>
        <w:jc w:val="both"/>
      </w:pPr>
      <w:r>
        <w:tab/>
      </w:r>
      <w:r>
        <w:rPr>
          <w:u w:val="single"/>
        </w:rPr>
        <w:t>Formal</w:t>
      </w:r>
      <w:r>
        <w:t xml:space="preserve"> – norma jurídica na qual o legislador se limita a regular os problemas da sucessão de leis, remetendo para uma das leis (antiga ou nova)</w:t>
      </w:r>
    </w:p>
    <w:p w:rsidR="00AF528D" w:rsidRDefault="00AF528D" w:rsidP="00AF528D">
      <w:pPr>
        <w:jc w:val="both"/>
      </w:pPr>
      <w:proofErr w:type="gramStart"/>
      <w:r w:rsidRPr="00AF528D">
        <w:rPr>
          <w:highlight w:val="cyan"/>
        </w:rPr>
        <w:t>Ex.</w:t>
      </w:r>
      <w:proofErr w:type="gramEnd"/>
      <w:r w:rsidRPr="00AF528D">
        <w:rPr>
          <w:highlight w:val="cyan"/>
        </w:rPr>
        <w:t>:</w:t>
      </w:r>
      <w:r>
        <w:t xml:space="preserve"> aos contratos celebrados no domínio da vigência da lei revogada aplica-se a lei antiga/nova; </w:t>
      </w:r>
      <w:r w:rsidRPr="00AF528D">
        <w:rPr>
          <w:highlight w:val="yellow"/>
        </w:rPr>
        <w:t>Art. 26º NRAU</w:t>
      </w:r>
    </w:p>
    <w:p w:rsidR="00AF528D" w:rsidRDefault="00AF528D" w:rsidP="00AF528D">
      <w:pPr>
        <w:jc w:val="both"/>
      </w:pPr>
      <w:r>
        <w:tab/>
      </w:r>
      <w:r>
        <w:rPr>
          <w:u w:val="single"/>
        </w:rPr>
        <w:t>Material</w:t>
      </w:r>
      <w:r>
        <w:t xml:space="preserve"> – consubstancia a criação de um regime específico para assegurar a transição da lei</w:t>
      </w:r>
    </w:p>
    <w:p w:rsidR="00AF528D" w:rsidRDefault="00AF528D" w:rsidP="00AF528D">
      <w:pPr>
        <w:jc w:val="both"/>
      </w:pPr>
      <w:proofErr w:type="gramStart"/>
      <w:r w:rsidRPr="00AF528D">
        <w:rPr>
          <w:highlight w:val="cyan"/>
        </w:rPr>
        <w:t>Ex.</w:t>
      </w:r>
      <w:proofErr w:type="gramEnd"/>
      <w:r w:rsidRPr="00AF528D">
        <w:rPr>
          <w:highlight w:val="cyan"/>
        </w:rPr>
        <w:t>:</w:t>
      </w:r>
      <w:r>
        <w:t xml:space="preserve"> </w:t>
      </w:r>
      <w:r w:rsidRPr="00AF528D">
        <w:rPr>
          <w:highlight w:val="yellow"/>
        </w:rPr>
        <w:t xml:space="preserve">Art. 27º </w:t>
      </w:r>
      <w:proofErr w:type="gramStart"/>
      <w:r w:rsidRPr="00AF528D">
        <w:rPr>
          <w:highlight w:val="yellow"/>
        </w:rPr>
        <w:t>a</w:t>
      </w:r>
      <w:proofErr w:type="gramEnd"/>
      <w:r w:rsidRPr="00AF528D">
        <w:rPr>
          <w:highlight w:val="yellow"/>
        </w:rPr>
        <w:t xml:space="preserve"> 58º NRAU</w:t>
      </w:r>
    </w:p>
    <w:p w:rsidR="00AF528D" w:rsidRDefault="00AF528D" w:rsidP="00AF528D">
      <w:pPr>
        <w:jc w:val="both"/>
      </w:pPr>
    </w:p>
    <w:p w:rsidR="00AF528D" w:rsidRDefault="00AF528D" w:rsidP="00AF528D">
      <w:pPr>
        <w:jc w:val="both"/>
      </w:pPr>
      <w:r>
        <w:t>- Há ramos do Direito que estabelecem a sua própria sucessão de leis no tempo:</w:t>
      </w:r>
    </w:p>
    <w:p w:rsidR="00AF528D" w:rsidRDefault="00AF528D" w:rsidP="00AF528D">
      <w:pPr>
        <w:jc w:val="both"/>
      </w:pPr>
      <w:r>
        <w:rPr>
          <w:u w:val="single"/>
        </w:rPr>
        <w:t>Direito Penal</w:t>
      </w:r>
      <w:r>
        <w:t>: aplica-se sempre a lei mais favorável ao caso</w:t>
      </w:r>
      <w:proofErr w:type="gramStart"/>
      <w:r>
        <w:t>,</w:t>
      </w:r>
      <w:proofErr w:type="gramEnd"/>
      <w:r>
        <w:t xml:space="preserve"> quer seja a lei antiga (que vigorava quando se cometeu o crime) ou a lei nova (que vigora no momento do julgamento)</w:t>
      </w:r>
    </w:p>
    <w:p w:rsidR="00AF528D" w:rsidRDefault="00AF528D" w:rsidP="00AF528D">
      <w:pPr>
        <w:jc w:val="both"/>
      </w:pPr>
      <w:r>
        <w:rPr>
          <w:u w:val="single"/>
        </w:rPr>
        <w:t>Direito Processual Civil</w:t>
      </w:r>
      <w:r>
        <w:t>: se há uma alteração da lei processual, ela aplica-se de imediato (lei nova tem aplicação assim que entra em vigor)</w:t>
      </w:r>
    </w:p>
    <w:p w:rsidR="00AF528D" w:rsidRDefault="00AF528D" w:rsidP="00AF528D">
      <w:pPr>
        <w:jc w:val="both"/>
      </w:pPr>
    </w:p>
    <w:p w:rsidR="00AF528D" w:rsidRDefault="00AF528D" w:rsidP="00AF528D">
      <w:pPr>
        <w:jc w:val="both"/>
      </w:pPr>
      <w:r>
        <w:t>- A sucessão de leis diz respeito à situação em que a lei nova revoga a lei antiga (lei aplica-se para o futuro – não retroactiva)</w:t>
      </w:r>
    </w:p>
    <w:p w:rsidR="00AF528D" w:rsidRDefault="00AF528D" w:rsidP="00AF528D">
      <w:pPr>
        <w:jc w:val="both"/>
      </w:pPr>
      <w:r>
        <w:t>- O legislador pode fazer a lei nova entrar no âmbito da vigência da lei antiga (é retroactiva)</w:t>
      </w:r>
    </w:p>
    <w:p w:rsidR="00AF528D" w:rsidRDefault="00AF528D" w:rsidP="00AF528D">
      <w:pPr>
        <w:jc w:val="both"/>
      </w:pPr>
      <w:r>
        <w:rPr>
          <w:u w:val="single"/>
        </w:rPr>
        <w:t>Princípio da não retroactividade:</w:t>
      </w:r>
      <w:r>
        <w:t xml:space="preserve"> direitos fundamentais, tratamento favorável ao arguido, </w:t>
      </w:r>
      <w:proofErr w:type="gramStart"/>
      <w:r>
        <w:t>caso</w:t>
      </w:r>
      <w:proofErr w:type="gramEnd"/>
      <w:r>
        <w:t xml:space="preserve"> julgado</w:t>
      </w:r>
    </w:p>
    <w:p w:rsidR="00AF528D" w:rsidRDefault="00AF528D" w:rsidP="00AF528D">
      <w:pPr>
        <w:jc w:val="both"/>
      </w:pPr>
      <w:r>
        <w:t xml:space="preserve">- Na falta de outros critérios aplica-se o </w:t>
      </w:r>
      <w:r w:rsidRPr="00AF528D">
        <w:rPr>
          <w:highlight w:val="yellow"/>
        </w:rPr>
        <w:t>Art. 12º CC</w:t>
      </w:r>
    </w:p>
    <w:p w:rsidR="00AF528D" w:rsidRDefault="00AF528D" w:rsidP="00AF528D">
      <w:pPr>
        <w:jc w:val="both"/>
      </w:pPr>
    </w:p>
    <w:p w:rsidR="00AF528D" w:rsidRDefault="00AF528D" w:rsidP="00AF528D">
      <w:pPr>
        <w:jc w:val="both"/>
      </w:pPr>
      <w:r w:rsidRPr="00AF528D">
        <w:rPr>
          <w:highlight w:val="yellow"/>
        </w:rPr>
        <w:t>Art. 12º, nº 2</w:t>
      </w:r>
      <w:r>
        <w:t xml:space="preserve"> – </w:t>
      </w:r>
      <w:r w:rsidRPr="00AF528D">
        <w:rPr>
          <w:u w:val="single"/>
        </w:rPr>
        <w:t>1ª parte</w:t>
      </w:r>
    </w:p>
    <w:p w:rsidR="00AF528D" w:rsidRDefault="00AF528D" w:rsidP="00AF528D">
      <w:pPr>
        <w:jc w:val="both"/>
      </w:pPr>
      <w:r>
        <w:t xml:space="preserve">- Soluções de não retroactividade </w:t>
      </w:r>
    </w:p>
    <w:p w:rsidR="00AF528D" w:rsidRDefault="00AF528D" w:rsidP="00AF528D">
      <w:pPr>
        <w:jc w:val="both"/>
      </w:pPr>
      <w:r>
        <w:t>- Quando não há Direito Transitório ou outras disposições, vale a lei nova (a lei nova só se aplica aos factos novos, pelo que os efeitos jurídicos de factos jurídicos antigos celebrados na vigência da lei antiga estão salvaguardados)</w:t>
      </w:r>
    </w:p>
    <w:p w:rsidR="00AF528D" w:rsidRDefault="00AF528D" w:rsidP="00AF528D">
      <w:pPr>
        <w:jc w:val="both"/>
      </w:pPr>
      <w:r>
        <w:rPr>
          <w:u w:val="single"/>
        </w:rPr>
        <w:lastRenderedPageBreak/>
        <w:t xml:space="preserve">2ª </w:t>
      </w:r>
      <w:proofErr w:type="gramStart"/>
      <w:r>
        <w:rPr>
          <w:u w:val="single"/>
        </w:rPr>
        <w:t>parte</w:t>
      </w:r>
      <w:proofErr w:type="gramEnd"/>
      <w:r>
        <w:t xml:space="preserve"> – respeito ao conteúdo das situações jurídicas (posição jurídica de alguém – direitos e deveres de uma forma geral) -&gt; lei nova tem aplicação imediata</w:t>
      </w:r>
    </w:p>
    <w:p w:rsidR="00AF528D" w:rsidRDefault="00AF528D" w:rsidP="00AF528D">
      <w:pPr>
        <w:jc w:val="both"/>
      </w:pPr>
    </w:p>
    <w:p w:rsidR="00AF528D" w:rsidRDefault="00AF528D" w:rsidP="00AF528D">
      <w:pPr>
        <w:jc w:val="both"/>
      </w:pPr>
      <w:r>
        <w:rPr>
          <w:u w:val="single"/>
        </w:rPr>
        <w:t>Transactividade / Ultractividade da lei</w:t>
      </w:r>
      <w:r>
        <w:t xml:space="preserve"> – a lei já revogada continua a reger factos, efeitos ou situações jurídicas que ocorreram quando a lei ainda estava em vigor</w:t>
      </w:r>
    </w:p>
    <w:p w:rsidR="00AF528D" w:rsidRDefault="00AF528D" w:rsidP="00AF528D">
      <w:pPr>
        <w:jc w:val="both"/>
      </w:pPr>
      <w:r>
        <w:rPr>
          <w:u w:val="single"/>
        </w:rPr>
        <w:t>Lei interpretativa</w:t>
      </w:r>
      <w:r>
        <w:t xml:space="preserve"> (</w:t>
      </w:r>
      <w:r w:rsidRPr="00AF528D">
        <w:rPr>
          <w:highlight w:val="yellow"/>
        </w:rPr>
        <w:t>Art. 13º</w:t>
      </w:r>
      <w:r>
        <w:t>) – inovadora (regime jurídico novo), interpreta a lei (fixa o sentido da lei anterior, esclarecendo as dúvidas que são levantadas por ela), posterior à lei interpretada, só pode ser do mesmo grau hierárquico ou de grau hierárquico superior</w:t>
      </w:r>
    </w:p>
    <w:p w:rsidR="00AF528D" w:rsidRDefault="00AF528D" w:rsidP="00AF528D">
      <w:pPr>
        <w:jc w:val="both"/>
      </w:pPr>
    </w:p>
    <w:p w:rsidR="00AF528D" w:rsidRDefault="00AF528D" w:rsidP="00AF528D">
      <w:pPr>
        <w:jc w:val="both"/>
      </w:pPr>
      <w:r>
        <w:rPr>
          <w:u w:val="single"/>
        </w:rPr>
        <w:t>Efeitos Jurídicos</w:t>
      </w:r>
      <w:r>
        <w:t>:</w:t>
      </w:r>
    </w:p>
    <w:p w:rsidR="00AF528D" w:rsidRDefault="00AF528D" w:rsidP="00AF528D">
      <w:pPr>
        <w:jc w:val="both"/>
      </w:pPr>
      <w:r>
        <w:t>- A lei interpretativa vai-se fundir com a lei interpretada quanto ao ser interesse juridicamente relevante – são autónomas, mas lêem-se em conjunto</w:t>
      </w:r>
    </w:p>
    <w:p w:rsidR="00AF528D" w:rsidRDefault="00AF528D" w:rsidP="00AF528D">
      <w:pPr>
        <w:jc w:val="both"/>
      </w:pPr>
      <w:r>
        <w:t>- A lei interpretativa é retroactiva – produz efeitos a partir do momento em que a lei interpretada entra em vigor</w:t>
      </w:r>
    </w:p>
    <w:p w:rsidR="00AF528D" w:rsidRDefault="00AF528D" w:rsidP="00AF528D">
      <w:pPr>
        <w:jc w:val="both"/>
      </w:pPr>
    </w:p>
    <w:p w:rsidR="00AF528D" w:rsidRDefault="00AF528D" w:rsidP="00AF528D">
      <w:pPr>
        <w:jc w:val="both"/>
        <w:rPr>
          <w:b/>
          <w:u w:val="single"/>
        </w:rPr>
      </w:pPr>
      <w:r>
        <w:rPr>
          <w:b/>
          <w:u w:val="single"/>
        </w:rPr>
        <w:t>Costume</w:t>
      </w:r>
    </w:p>
    <w:p w:rsidR="00AF528D" w:rsidRDefault="00AF528D" w:rsidP="00AF528D">
      <w:pPr>
        <w:jc w:val="both"/>
      </w:pPr>
      <w:r>
        <w:rPr>
          <w:b/>
        </w:rPr>
        <w:t>Uso</w:t>
      </w:r>
      <w:r>
        <w:t xml:space="preserve"> – fonte mediata de Direito </w:t>
      </w:r>
    </w:p>
    <w:p w:rsidR="00AF528D" w:rsidRDefault="00AF528D" w:rsidP="00AF528D">
      <w:pPr>
        <w:jc w:val="both"/>
      </w:pPr>
      <w:r>
        <w:t>- A sua valia como fonte de Direito existe quando uma norma legal remete para esse uso</w:t>
      </w:r>
    </w:p>
    <w:p w:rsidR="00AF528D" w:rsidRDefault="00AF528D" w:rsidP="00AF528D">
      <w:pPr>
        <w:jc w:val="both"/>
      </w:pPr>
    </w:p>
    <w:p w:rsidR="00AF528D" w:rsidRDefault="00AF528D" w:rsidP="00AF528D">
      <w:pPr>
        <w:jc w:val="both"/>
      </w:pPr>
      <w:r>
        <w:t xml:space="preserve">Uso </w:t>
      </w:r>
      <w:r>
        <w:rPr>
          <w:rFonts w:cstheme="minorHAnsi"/>
        </w:rPr>
        <w:t>≠</w:t>
      </w:r>
      <w:r>
        <w:t xml:space="preserve"> Costume -&gt; o uso é um elemento do costume, sendo que este está ainda associado à convicção de obrigatoriedade dessa prática</w:t>
      </w:r>
    </w:p>
    <w:p w:rsidR="00AF528D" w:rsidRDefault="00AF528D" w:rsidP="00AF528D">
      <w:pPr>
        <w:jc w:val="both"/>
      </w:pPr>
      <w:r>
        <w:t>- Ao longo da história, o costume é o modo como se revelava o Direito (práticas sociais transmitidas de geração em geração) =&gt; Com a ascensão do Estado, a lei torna-se fonte primordial</w:t>
      </w:r>
    </w:p>
    <w:p w:rsidR="00AF528D" w:rsidRDefault="00AF528D" w:rsidP="00AF528D">
      <w:pPr>
        <w:jc w:val="both"/>
      </w:pPr>
    </w:p>
    <w:p w:rsidR="00AF528D" w:rsidRDefault="00AF528D" w:rsidP="00AF528D">
      <w:pPr>
        <w:jc w:val="both"/>
      </w:pPr>
      <w:r>
        <w:t>- O sistema de fontes português não faz menção ao costume – não consagrou nenhuma norma que lhe dê valor como fonte, não faz menção ao costume como modo de integração das lacunas da lei, o costume não é referido como modo de afasta uma lei antiga (Código Civil é positivista, sendo que a lei está acima de todas as fontes)</w:t>
      </w:r>
    </w:p>
    <w:p w:rsidR="00AF528D" w:rsidRDefault="00AF528D" w:rsidP="00AF528D">
      <w:pPr>
        <w:jc w:val="both"/>
      </w:pPr>
    </w:p>
    <w:p w:rsidR="00AF528D" w:rsidRDefault="00AF528D" w:rsidP="00AF528D">
      <w:pPr>
        <w:jc w:val="both"/>
      </w:pPr>
      <w:r>
        <w:rPr>
          <w:u w:val="single"/>
        </w:rPr>
        <w:t xml:space="preserve">Costume </w:t>
      </w:r>
      <w:proofErr w:type="spellStart"/>
      <w:r>
        <w:rPr>
          <w:u w:val="single"/>
        </w:rPr>
        <w:t>secundum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legis</w:t>
      </w:r>
      <w:proofErr w:type="spellEnd"/>
      <w:r>
        <w:t xml:space="preserve"> – consagra a própria lei (não levanta problemas ao Direito), poderia servir para integrar lacunas, mas tal não está previsto no regime jurídico português</w:t>
      </w:r>
    </w:p>
    <w:p w:rsidR="00AF528D" w:rsidRDefault="00AF528D" w:rsidP="00AF528D">
      <w:pPr>
        <w:jc w:val="both"/>
      </w:pPr>
      <w:r>
        <w:rPr>
          <w:u w:val="single"/>
        </w:rPr>
        <w:t xml:space="preserve">Costume </w:t>
      </w:r>
      <w:proofErr w:type="spellStart"/>
      <w:r>
        <w:rPr>
          <w:u w:val="single"/>
        </w:rPr>
        <w:t>Praeter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legem</w:t>
      </w:r>
      <w:proofErr w:type="spellEnd"/>
      <w:r>
        <w:t xml:space="preserve"> – mais vasto que a lei (regula aspectos que a lei não regula)</w:t>
      </w:r>
    </w:p>
    <w:p w:rsidR="00AF528D" w:rsidRPr="00AF528D" w:rsidRDefault="00AF528D" w:rsidP="00AF528D">
      <w:pPr>
        <w:jc w:val="both"/>
      </w:pPr>
      <w:r>
        <w:rPr>
          <w:u w:val="single"/>
        </w:rPr>
        <w:t xml:space="preserve">Costume contra </w:t>
      </w:r>
      <w:proofErr w:type="spellStart"/>
      <w:r>
        <w:rPr>
          <w:u w:val="single"/>
        </w:rPr>
        <w:t>legem</w:t>
      </w:r>
      <w:proofErr w:type="spellEnd"/>
      <w:r>
        <w:t xml:space="preserve"> – contra a lei</w:t>
      </w:r>
    </w:p>
    <w:p w:rsidR="00AF528D" w:rsidRDefault="00AF528D" w:rsidP="00AF528D">
      <w:pPr>
        <w:jc w:val="both"/>
      </w:pPr>
      <w:r>
        <w:t xml:space="preserve">- Levanta problemas em relação à legitimidade da lei </w:t>
      </w:r>
    </w:p>
    <w:p w:rsidR="00AF528D" w:rsidRDefault="00AF528D" w:rsidP="00AF528D">
      <w:pPr>
        <w:jc w:val="both"/>
      </w:pPr>
      <w:r>
        <w:t>- A lei deveria exprimir a vontade do povo, mas há autores que consideram que o povo cria lei fora desses domínios</w:t>
      </w:r>
    </w:p>
    <w:p w:rsidR="00AF528D" w:rsidRDefault="00AF528D" w:rsidP="00AF528D">
      <w:pPr>
        <w:jc w:val="both"/>
      </w:pPr>
      <w:proofErr w:type="gramStart"/>
      <w:r w:rsidRPr="00AF528D">
        <w:rPr>
          <w:highlight w:val="cyan"/>
        </w:rPr>
        <w:t>Ex.</w:t>
      </w:r>
      <w:proofErr w:type="gramEnd"/>
      <w:r w:rsidRPr="00AF528D">
        <w:rPr>
          <w:highlight w:val="cyan"/>
        </w:rPr>
        <w:t>:</w:t>
      </w:r>
      <w:r>
        <w:t xml:space="preserve"> </w:t>
      </w:r>
      <w:proofErr w:type="gramStart"/>
      <w:r>
        <w:t>touros de mote de Barrancos – para ser legal, seria</w:t>
      </w:r>
      <w:proofErr w:type="gramEnd"/>
      <w:r>
        <w:t xml:space="preserve"> uma norma excepcional com fonte costumeira</w:t>
      </w:r>
    </w:p>
    <w:p w:rsidR="00AF528D" w:rsidRDefault="00AF528D" w:rsidP="00AF528D">
      <w:pPr>
        <w:jc w:val="both"/>
      </w:pPr>
    </w:p>
    <w:p w:rsidR="00AF528D" w:rsidRDefault="00AF528D" w:rsidP="00AF528D">
      <w:pPr>
        <w:jc w:val="both"/>
      </w:pPr>
      <w:r>
        <w:t>- Há práticas de costume que são consagradas como se fossem própria fonte de Direito – nestes casos, o costume tem a mesma força que a própria lei</w:t>
      </w:r>
    </w:p>
    <w:p w:rsidR="00AF528D" w:rsidRDefault="00AF528D" w:rsidP="00AF528D">
      <w:pPr>
        <w:jc w:val="both"/>
      </w:pPr>
      <w:proofErr w:type="gramStart"/>
      <w:r w:rsidRPr="00AF528D">
        <w:rPr>
          <w:highlight w:val="cyan"/>
        </w:rPr>
        <w:t>Ex.</w:t>
      </w:r>
      <w:proofErr w:type="gramEnd"/>
      <w:r w:rsidRPr="00AF528D">
        <w:rPr>
          <w:highlight w:val="cyan"/>
        </w:rPr>
        <w:t>:</w:t>
      </w:r>
      <w:r>
        <w:t xml:space="preserve"> uma comunidade local cria o seu próprio Direito baseado no costume, impondo-se ao regime geral</w:t>
      </w:r>
    </w:p>
    <w:p w:rsidR="00AF528D" w:rsidRDefault="00AF528D" w:rsidP="00AF528D">
      <w:pPr>
        <w:jc w:val="both"/>
      </w:pPr>
    </w:p>
    <w:p w:rsidR="00AF528D" w:rsidRDefault="00AF528D" w:rsidP="00AF528D">
      <w:pPr>
        <w:jc w:val="both"/>
      </w:pPr>
      <w:r>
        <w:t>- Há práticas costumeiras que desaparecem por força da lei</w:t>
      </w:r>
    </w:p>
    <w:p w:rsidR="00AF528D" w:rsidRDefault="00AF528D" w:rsidP="00AF528D">
      <w:pPr>
        <w:jc w:val="both"/>
      </w:pPr>
      <w:r w:rsidRPr="00AF528D">
        <w:rPr>
          <w:highlight w:val="yellow"/>
        </w:rPr>
        <w:t>Art. 384º</w:t>
      </w:r>
      <w:r>
        <w:t xml:space="preserve"> - Direito Consuetudinário</w:t>
      </w:r>
    </w:p>
    <w:p w:rsidR="00AF528D" w:rsidRDefault="00AF528D" w:rsidP="00AF528D">
      <w:pPr>
        <w:jc w:val="both"/>
      </w:pPr>
      <w:r>
        <w:t>- Partes podem invocar o costume, mas o tribunal não tem o deve de conhecer todo o costume</w:t>
      </w:r>
    </w:p>
    <w:p w:rsidR="00AF528D" w:rsidRDefault="00AF528D" w:rsidP="00AF528D">
      <w:pPr>
        <w:jc w:val="both"/>
      </w:pPr>
      <w:r>
        <w:t xml:space="preserve">Art. 1400º - </w:t>
      </w:r>
      <w:proofErr w:type="gramStart"/>
      <w:r>
        <w:t>costume</w:t>
      </w:r>
      <w:proofErr w:type="gramEnd"/>
      <w:r>
        <w:t xml:space="preserve"> (norma legal remete para ele)</w:t>
      </w:r>
    </w:p>
    <w:p w:rsidR="00AF528D" w:rsidRDefault="00AF528D" w:rsidP="00AF528D">
      <w:pPr>
        <w:jc w:val="both"/>
      </w:pPr>
      <w:r>
        <w:t>- O costume existe no Direito Internacional Público (território da embaixada é estrangeiro, inviolabilidade da correspondência diplomática – regras resultam do costume, não estão escritas)</w:t>
      </w:r>
    </w:p>
    <w:p w:rsidR="00AF528D" w:rsidRDefault="00AF528D" w:rsidP="00AF528D">
      <w:pPr>
        <w:jc w:val="both"/>
      </w:pPr>
      <w:r>
        <w:rPr>
          <w:b/>
          <w:u w:val="single"/>
        </w:rPr>
        <w:lastRenderedPageBreak/>
        <w:t>Doutrina</w:t>
      </w:r>
      <w:r>
        <w:rPr>
          <w:b/>
        </w:rPr>
        <w:t xml:space="preserve"> – </w:t>
      </w:r>
      <w:r>
        <w:t>conjunto de opinião dos jurisconsultos</w:t>
      </w:r>
    </w:p>
    <w:p w:rsidR="00AF528D" w:rsidRDefault="00AF528D" w:rsidP="00AF528D">
      <w:pPr>
        <w:jc w:val="both"/>
      </w:pPr>
    </w:p>
    <w:p w:rsidR="00AF528D" w:rsidRDefault="00AF528D" w:rsidP="00AF528D">
      <w:pPr>
        <w:jc w:val="both"/>
      </w:pPr>
      <w:r>
        <w:rPr>
          <w:b/>
          <w:u w:val="single"/>
        </w:rPr>
        <w:t>Jurisprudência</w:t>
      </w:r>
      <w:r>
        <w:t xml:space="preserve"> – </w:t>
      </w:r>
      <w:proofErr w:type="spellStart"/>
      <w:r>
        <w:rPr>
          <w:i/>
        </w:rPr>
        <w:t>iures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dicere</w:t>
      </w:r>
      <w:proofErr w:type="spellEnd"/>
      <w:r>
        <w:t xml:space="preserve"> (dizer o Direito)</w:t>
      </w:r>
    </w:p>
    <w:p w:rsidR="00AF528D" w:rsidRDefault="00AF528D" w:rsidP="00AF528D">
      <w:pPr>
        <w:jc w:val="both"/>
      </w:pPr>
      <w:r>
        <w:t>- Decisões que saem dos tribunais</w:t>
      </w:r>
    </w:p>
    <w:p w:rsidR="00AF528D" w:rsidRDefault="00AF528D" w:rsidP="00AF528D">
      <w:pPr>
        <w:jc w:val="both"/>
      </w:pPr>
      <w:r>
        <w:t>Tribunais Cíveis (Direito Privado), Tribunais Administrativos (Direito Público), Tribunais Especiais – Constitucional, Contas, Trabalho</w:t>
      </w:r>
    </w:p>
    <w:p w:rsidR="00AF528D" w:rsidRDefault="00AF528D" w:rsidP="00AF528D">
      <w:pPr>
        <w:jc w:val="both"/>
      </w:pPr>
      <w:r>
        <w:t>- Não há nenhuma relação de nível hierárquico – os juízes são independentes, estando apenas vinculados à lei (e não a decisões dos tribunais superiores)</w:t>
      </w:r>
    </w:p>
    <w:p w:rsidR="00AF528D" w:rsidRDefault="00AF528D" w:rsidP="00AF528D">
      <w:pPr>
        <w:jc w:val="both"/>
      </w:pPr>
      <w:r>
        <w:t>- Cada decisão judicial vale no caso em que é aplicada, esgotando nele a sua eficácia</w:t>
      </w:r>
    </w:p>
    <w:p w:rsidR="00AF528D" w:rsidRDefault="00AF528D" w:rsidP="00AF528D">
      <w:pPr>
        <w:jc w:val="both"/>
      </w:pPr>
    </w:p>
    <w:p w:rsidR="00AF528D" w:rsidRDefault="00AF528D" w:rsidP="00AF528D">
      <w:pPr>
        <w:jc w:val="both"/>
      </w:pPr>
      <w:r>
        <w:rPr>
          <w:u w:val="single"/>
        </w:rPr>
        <w:t>Jurisprudência constante</w:t>
      </w:r>
      <w:r>
        <w:t xml:space="preserve"> – repetição de decisões jurídicas consagrando a mesma tese de Direito (ainda assim, não é fonte de Direito, pois não vincula)</w:t>
      </w:r>
    </w:p>
    <w:p w:rsidR="00AF528D" w:rsidRDefault="00AF528D" w:rsidP="00AF528D">
      <w:pPr>
        <w:jc w:val="both"/>
      </w:pPr>
    </w:p>
    <w:p w:rsidR="00AF528D" w:rsidRPr="00AF528D" w:rsidRDefault="00AF528D" w:rsidP="00AF528D">
      <w:pPr>
        <w:jc w:val="both"/>
      </w:pPr>
      <w:r>
        <w:rPr>
          <w:u w:val="single"/>
        </w:rPr>
        <w:t>Uniformização da Jurisprudência</w:t>
      </w:r>
      <w:r>
        <w:t xml:space="preserve"> – competência para fixar o sentido a dar a uma norma jurídica do Supremo Tribunal de Justiça (acórdão vinculativo para o futuro) – revogado em 1994</w:t>
      </w:r>
    </w:p>
    <w:p w:rsidR="00AF528D" w:rsidRDefault="00AF528D" w:rsidP="00AF528D">
      <w:pPr>
        <w:jc w:val="both"/>
      </w:pPr>
    </w:p>
    <w:p w:rsidR="00AF528D" w:rsidRPr="00AF528D" w:rsidRDefault="00AF528D" w:rsidP="00AF528D">
      <w:pPr>
        <w:jc w:val="both"/>
      </w:pPr>
    </w:p>
    <w:sectPr w:rsidR="00AF528D" w:rsidRPr="00AF528D" w:rsidSect="00B845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528D"/>
    <w:rsid w:val="00AF528D"/>
    <w:rsid w:val="00B8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56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985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DianaSN</dc:creator>
  <cp:lastModifiedBy>DianaSN</cp:lastModifiedBy>
  <cp:revision>2</cp:revision>
  <dcterms:created xsi:type="dcterms:W3CDTF">2009-12-09T17:02:00Z</dcterms:created>
  <dcterms:modified xsi:type="dcterms:W3CDTF">2009-12-09T17:45:00Z</dcterms:modified>
</cp:coreProperties>
</file>