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65" w:rsidRDefault="00DF3C0A" w:rsidP="00DF3C0A">
      <w:pPr>
        <w:jc w:val="center"/>
        <w:rPr>
          <w:b/>
          <w:sz w:val="32"/>
        </w:rPr>
      </w:pPr>
      <w:r>
        <w:rPr>
          <w:b/>
          <w:sz w:val="32"/>
        </w:rPr>
        <w:t>Aulas Práticas</w:t>
      </w:r>
    </w:p>
    <w:p w:rsidR="00DF3C0A" w:rsidRDefault="00DF3C0A" w:rsidP="00DF3C0A">
      <w:pPr>
        <w:jc w:val="center"/>
        <w:rPr>
          <w:b/>
          <w:sz w:val="32"/>
        </w:rPr>
      </w:pPr>
    </w:p>
    <w:p w:rsidR="00DF3C0A" w:rsidRDefault="00DF3C0A" w:rsidP="00DF3C0A">
      <w:pPr>
        <w:jc w:val="both"/>
        <w:rPr>
          <w:b/>
        </w:rPr>
      </w:pPr>
      <w:r>
        <w:rPr>
          <w:b/>
        </w:rPr>
        <w:t>Aplicação da lei no tempo</w:t>
      </w:r>
    </w:p>
    <w:p w:rsidR="00DF3C0A" w:rsidRDefault="00DF3C0A" w:rsidP="00DF3C0A">
      <w:pPr>
        <w:jc w:val="both"/>
      </w:pPr>
      <w:r>
        <w:rPr>
          <w:b/>
        </w:rPr>
        <w:t xml:space="preserve">- </w:t>
      </w:r>
      <w:r>
        <w:t>Por vezes, há situações jurídicas duradouras que resulta num confronte entre a aplicação da lei nova e antiga</w:t>
      </w:r>
    </w:p>
    <w:p w:rsidR="00DF3C0A" w:rsidRPr="00DF3C0A" w:rsidRDefault="00DF3C0A" w:rsidP="00DF3C0A">
      <w:pPr>
        <w:jc w:val="both"/>
      </w:pPr>
      <w:r w:rsidRPr="00DF3C0A">
        <w:rPr>
          <w:highlight w:val="yellow"/>
        </w:rPr>
        <w:t>Art. 12º, nº 1</w:t>
      </w:r>
      <w:r>
        <w:t xml:space="preserve"> – a situação já estava constituída anteriormente, não sendo afectada pelo novo regime</w:t>
      </w:r>
    </w:p>
    <w:p w:rsidR="00DF3C0A" w:rsidRDefault="00DF3C0A" w:rsidP="00DF3C0A">
      <w:pPr>
        <w:jc w:val="both"/>
      </w:pPr>
    </w:p>
    <w:p w:rsidR="00DF3C0A" w:rsidRDefault="00DF3C0A" w:rsidP="00DF3C0A">
      <w:pPr>
        <w:jc w:val="both"/>
      </w:pPr>
      <w:r>
        <w:t xml:space="preserve">- A lei, no seu período de </w:t>
      </w:r>
      <w:proofErr w:type="spellStart"/>
      <w:r>
        <w:rPr>
          <w:i/>
        </w:rPr>
        <w:t>vacatio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legis</w:t>
      </w:r>
      <w:proofErr w:type="spellEnd"/>
      <w:r>
        <w:t xml:space="preserve"> é ineficaz (não produz efeitos)</w:t>
      </w:r>
    </w:p>
    <w:p w:rsidR="00DF3C0A" w:rsidRDefault="00DF3C0A" w:rsidP="00DF3C0A">
      <w:pPr>
        <w:jc w:val="both"/>
      </w:pPr>
      <w:r>
        <w:t>- Quando há um facto de execução instantânea e a situação se esgota, não há problema de aplicação da lei no tempo, pois não entra em contacto com a lei nova</w:t>
      </w:r>
    </w:p>
    <w:p w:rsidR="00DF3C0A" w:rsidRDefault="00DF3C0A" w:rsidP="00DF3C0A">
      <w:pPr>
        <w:jc w:val="both"/>
      </w:pPr>
    </w:p>
    <w:p w:rsidR="00DF3C0A" w:rsidRDefault="00DF3C0A" w:rsidP="00DF3C0A">
      <w:pPr>
        <w:jc w:val="both"/>
      </w:pPr>
      <w:r>
        <w:t xml:space="preserve">- Quando a lei aligeira os requisitos de forma, é feita analogia através do Direito Penal (Art. 29º CRP) –&gt; aplica-se a lei mais favorável </w:t>
      </w:r>
    </w:p>
    <w:p w:rsidR="00DF3C0A" w:rsidRDefault="00DF3C0A" w:rsidP="00DF3C0A">
      <w:pPr>
        <w:jc w:val="both"/>
      </w:pPr>
      <w:r>
        <w:t>- Quando a lei junta uma obrigação ao proprietário</w:t>
      </w:r>
      <w:proofErr w:type="gramStart"/>
      <w:r>
        <w:t>,</w:t>
      </w:r>
      <w:proofErr w:type="gramEnd"/>
      <w:r>
        <w:t xml:space="preserve"> está a regular o conteúdo das relações jurídicas – </w:t>
      </w:r>
      <w:r w:rsidRPr="00DF3C0A">
        <w:rPr>
          <w:highlight w:val="yellow"/>
        </w:rPr>
        <w:t>Art. 12º, nº 2, 2ª parte</w:t>
      </w:r>
    </w:p>
    <w:p w:rsidR="00DF3C0A" w:rsidRDefault="00DF3C0A" w:rsidP="00DF3C0A">
      <w:pPr>
        <w:jc w:val="both"/>
      </w:pPr>
      <w:r>
        <w:t xml:space="preserve">- Quando a lei nova se refere ao conteúdo da relação jurídica, os efeitos jurídicos produzidos ao abrigo da lei antiga ficam ressalvados (tudo o que foi feito anteriormente é válido) </w:t>
      </w:r>
    </w:p>
    <w:p w:rsidR="00DF3C0A" w:rsidRDefault="00DF3C0A" w:rsidP="00DF3C0A">
      <w:pPr>
        <w:jc w:val="both"/>
      </w:pPr>
      <w:r>
        <w:t xml:space="preserve">- O Art. 12º </w:t>
      </w:r>
      <w:proofErr w:type="gramStart"/>
      <w:r>
        <w:t>não</w:t>
      </w:r>
      <w:proofErr w:type="gramEnd"/>
      <w:r>
        <w:t xml:space="preserve"> dá solução sobre a contabilização dos prazos – aplica-se o Art. 297º</w:t>
      </w:r>
    </w:p>
    <w:p w:rsidR="00DF3C0A" w:rsidRDefault="00DF3C0A" w:rsidP="00DF3C0A">
      <w:pPr>
        <w:jc w:val="both"/>
      </w:pPr>
    </w:p>
    <w:p w:rsidR="00DF3C0A" w:rsidRDefault="00DF3C0A" w:rsidP="00DF3C0A">
      <w:pPr>
        <w:jc w:val="both"/>
      </w:pPr>
      <w:r>
        <w:rPr>
          <w:u w:val="single"/>
        </w:rPr>
        <w:t>Boa fé</w:t>
      </w:r>
      <w:r>
        <w:t xml:space="preserve"> – impede a aplicação da lei a pessoas que confiaram que a prática fosse lícita/tolerada</w:t>
      </w:r>
    </w:p>
    <w:p w:rsidR="00DF3C0A" w:rsidRDefault="00DF3C0A" w:rsidP="00DF3C0A">
      <w:pPr>
        <w:jc w:val="both"/>
      </w:pPr>
    </w:p>
    <w:p w:rsidR="00DF3C0A" w:rsidRDefault="00DF3C0A" w:rsidP="00DF3C0A">
      <w:pPr>
        <w:jc w:val="both"/>
      </w:pPr>
      <w:r>
        <w:rPr>
          <w:u w:val="single"/>
        </w:rPr>
        <w:t>Lei interpretativa</w:t>
      </w:r>
      <w:r>
        <w:t xml:space="preserve"> – refere-se expressamente à lei interpretada, não pode transcender o sentido literal da lei interpretada, tem de ser grau hierárquico igual ou superior</w:t>
      </w:r>
    </w:p>
    <w:p w:rsidR="00DF3C0A" w:rsidRDefault="00DF3C0A" w:rsidP="00DF3C0A">
      <w:pPr>
        <w:jc w:val="both"/>
      </w:pPr>
      <w:r>
        <w:tab/>
        <w:t>Oliveira Ascensão – é retroactiva, integrando-se na lei interpretada</w:t>
      </w:r>
    </w:p>
    <w:p w:rsidR="00DF3C0A" w:rsidRPr="00DF3C0A" w:rsidRDefault="00DF3C0A" w:rsidP="00DF3C0A">
      <w:pPr>
        <w:jc w:val="both"/>
      </w:pPr>
      <w:r>
        <w:tab/>
        <w:t>Baptista Machado – a lei interpretada só esclarece, não acrescentando nada de novo</w:t>
      </w:r>
    </w:p>
    <w:p w:rsidR="00DF3C0A" w:rsidRDefault="00DF3C0A" w:rsidP="00DF3C0A">
      <w:pPr>
        <w:jc w:val="both"/>
        <w:rPr>
          <w:b/>
        </w:rPr>
      </w:pPr>
    </w:p>
    <w:p w:rsidR="00DF3C0A" w:rsidRDefault="00DF3C0A" w:rsidP="00DF3C0A">
      <w:pPr>
        <w:jc w:val="both"/>
      </w:pPr>
      <w:r>
        <w:rPr>
          <w:b/>
        </w:rPr>
        <w:t xml:space="preserve">Doutrina – </w:t>
      </w:r>
      <w:r>
        <w:t>manuais, pareceres (intermediário entre uma fonte de Direito e o intérprete)</w:t>
      </w:r>
    </w:p>
    <w:p w:rsidR="00DF3C0A" w:rsidRDefault="00DF3C0A" w:rsidP="00DF3C0A">
      <w:pPr>
        <w:jc w:val="both"/>
      </w:pPr>
      <w:r>
        <w:rPr>
          <w:u w:val="single"/>
        </w:rPr>
        <w:t>Fonte Mediata</w:t>
      </w:r>
      <w:r>
        <w:t xml:space="preserve"> – esclarece o sentido (interpreta, critica e apresenta novas soluções/caminhos para a lei; os argumentos contidos num parecer são sempre racionais e fundamentados)</w:t>
      </w:r>
    </w:p>
    <w:p w:rsidR="00DF3C0A" w:rsidRDefault="00DF3C0A" w:rsidP="00DF3C0A">
      <w:pPr>
        <w:jc w:val="both"/>
      </w:pPr>
    </w:p>
    <w:p w:rsidR="00DF3C0A" w:rsidRDefault="00DF3C0A" w:rsidP="00DF3C0A">
      <w:pPr>
        <w:jc w:val="both"/>
      </w:pPr>
      <w:r>
        <w:rPr>
          <w:b/>
        </w:rPr>
        <w:t>Retroactividade</w:t>
      </w:r>
      <w:r>
        <w:t>: extrema (não respeita o caso julgado), quase extrema (respeita o caso julgado), agrava, ordinária (</w:t>
      </w:r>
      <w:r w:rsidRPr="00DF3C0A">
        <w:rPr>
          <w:highlight w:val="yellow"/>
        </w:rPr>
        <w:t>Art. 12º</w:t>
      </w:r>
      <w:r>
        <w:t>)</w:t>
      </w:r>
    </w:p>
    <w:p w:rsidR="00DF3C0A" w:rsidRDefault="00DF3C0A" w:rsidP="00DF3C0A">
      <w:pPr>
        <w:jc w:val="both"/>
      </w:pPr>
    </w:p>
    <w:p w:rsidR="00DF3C0A" w:rsidRDefault="00DF3C0A" w:rsidP="00DF3C0A">
      <w:pPr>
        <w:jc w:val="both"/>
      </w:pPr>
      <w:r>
        <w:rPr>
          <w:u w:val="single"/>
        </w:rPr>
        <w:t>Assentos</w:t>
      </w:r>
      <w:r>
        <w:t xml:space="preserve"> – resultam de conflitos de julgados no Supremo Tribunal de Justiça -&gt; força de lei</w:t>
      </w:r>
    </w:p>
    <w:p w:rsidR="00DF3C0A" w:rsidRDefault="00DF3C0A" w:rsidP="00DF3C0A">
      <w:pPr>
        <w:jc w:val="both"/>
      </w:pPr>
      <w:r>
        <w:t>- Fonte imediata até Março de 1995 – deixa de ser fonte de Direito (acórdãos uniformizadores de jurisprudência)</w:t>
      </w:r>
    </w:p>
    <w:p w:rsidR="00DF3C0A" w:rsidRDefault="00DF3C0A" w:rsidP="00DF3C0A">
      <w:pPr>
        <w:jc w:val="both"/>
      </w:pPr>
    </w:p>
    <w:p w:rsidR="00DF3C0A" w:rsidRDefault="00DF3C0A" w:rsidP="00DF3C0A">
      <w:pPr>
        <w:jc w:val="both"/>
      </w:pPr>
      <w:r>
        <w:rPr>
          <w:b/>
        </w:rPr>
        <w:t>Costume</w:t>
      </w:r>
      <w:r>
        <w:t xml:space="preserve"> – convicção da obrigatoriedade (há mais obrigatoriedade que a jurídica -&gt; nem todas as normas de Direito são obrigatórias, pois podem permitir determinadas condutas) -&gt; convicção da juridicidade (obrigatoriedade jurídica)</w:t>
      </w:r>
    </w:p>
    <w:p w:rsidR="00DF3C0A" w:rsidRDefault="00DF3C0A" w:rsidP="00DF3C0A">
      <w:pPr>
        <w:jc w:val="both"/>
      </w:pPr>
      <w:r>
        <w:t>- Os usos e o costume são fontes de Direito, pelo que o tribunal os pode aplicar</w:t>
      </w:r>
    </w:p>
    <w:p w:rsidR="00DF3C0A" w:rsidRDefault="00DF3C0A" w:rsidP="00DF3C0A">
      <w:pPr>
        <w:jc w:val="both"/>
      </w:pPr>
      <w:r w:rsidRPr="00DF3C0A">
        <w:rPr>
          <w:highlight w:val="yellow"/>
        </w:rPr>
        <w:t>Art. 384º</w:t>
      </w:r>
      <w:r>
        <w:t xml:space="preserve"> - </w:t>
      </w:r>
      <w:proofErr w:type="gramStart"/>
      <w:r>
        <w:t>o</w:t>
      </w:r>
      <w:proofErr w:type="gramEnd"/>
      <w:r>
        <w:t xml:space="preserve"> tribunal deve esforçar-se por reconhecer o costume</w:t>
      </w:r>
    </w:p>
    <w:p w:rsidR="00DF3C0A" w:rsidRDefault="00DF3C0A" w:rsidP="00DF3C0A">
      <w:pPr>
        <w:jc w:val="both"/>
      </w:pPr>
    </w:p>
    <w:p w:rsidR="00DF3C0A" w:rsidRDefault="00DF3C0A" w:rsidP="00DF3C0A">
      <w:pPr>
        <w:jc w:val="both"/>
      </w:pPr>
      <w:r>
        <w:t>- Quando a lei cai em desuso, não perde a sua vigência, mas pode ficar revogada pelo simples desuso, quando é considerada uma lei obsoleta</w:t>
      </w:r>
    </w:p>
    <w:p w:rsidR="00DF3C0A" w:rsidRDefault="00DF3C0A" w:rsidP="00DF3C0A">
      <w:pPr>
        <w:jc w:val="both"/>
      </w:pPr>
    </w:p>
    <w:p w:rsidR="00DF3C0A" w:rsidRDefault="00DF3C0A" w:rsidP="00DF3C0A">
      <w:pPr>
        <w:jc w:val="both"/>
      </w:pPr>
      <w:r>
        <w:rPr>
          <w:u w:val="single"/>
        </w:rPr>
        <w:t>Princípio Democrático</w:t>
      </w:r>
      <w:r>
        <w:t xml:space="preserve">: prática socialmente aceite/reconhecida pela maioria de uma determinada comunidade -&gt; dotada de </w:t>
      </w:r>
      <w:r>
        <w:rPr>
          <w:u w:val="single"/>
        </w:rPr>
        <w:t>juridicidade</w:t>
      </w:r>
      <w:r>
        <w:t xml:space="preserve"> (regulação jurídica) </w:t>
      </w:r>
    </w:p>
    <w:p w:rsidR="00DF3C0A" w:rsidRPr="00DF3C0A" w:rsidRDefault="00DF3C0A" w:rsidP="00DF3C0A">
      <w:pPr>
        <w:jc w:val="both"/>
        <w:rPr>
          <w:u w:val="single"/>
        </w:rPr>
      </w:pPr>
      <w:r>
        <w:lastRenderedPageBreak/>
        <w:t xml:space="preserve">- Tem de ser conforme a </w:t>
      </w:r>
      <w:r>
        <w:rPr>
          <w:u w:val="single"/>
        </w:rPr>
        <w:t>boa fé</w:t>
      </w:r>
      <w:r>
        <w:t xml:space="preserve"> (</w:t>
      </w:r>
      <w:r w:rsidRPr="00DF3C0A">
        <w:rPr>
          <w:highlight w:val="yellow"/>
        </w:rPr>
        <w:t>Art. 3º</w:t>
      </w:r>
      <w:r>
        <w:t xml:space="preserve">) – ética (regra de conduta objectiva – como se comportar numa determinada situação), psicológica (quando a lei se basta ao mero estado de conhecimento do sujeito) -&gt; o costume rege-se pela </w:t>
      </w:r>
      <w:r>
        <w:rPr>
          <w:u w:val="single"/>
        </w:rPr>
        <w:t>boa fé ética</w:t>
      </w:r>
    </w:p>
    <w:p w:rsidR="00DF3C0A" w:rsidRDefault="00DF3C0A" w:rsidP="00DF3C0A">
      <w:pPr>
        <w:jc w:val="both"/>
      </w:pPr>
      <w:proofErr w:type="gramStart"/>
      <w:r w:rsidRPr="00DF3C0A">
        <w:rPr>
          <w:highlight w:val="cyan"/>
        </w:rPr>
        <w:t>Ex.</w:t>
      </w:r>
      <w:proofErr w:type="gramEnd"/>
      <w:r w:rsidRPr="00DF3C0A">
        <w:rPr>
          <w:highlight w:val="cyan"/>
        </w:rPr>
        <w:t>:</w:t>
      </w:r>
      <w:r>
        <w:t xml:space="preserve"> Andar a mais de 120km/h – não revoga a lei, pois há uma aceitação geral que é uma prática reprovável</w:t>
      </w:r>
    </w:p>
    <w:p w:rsidR="00DF3C0A" w:rsidRDefault="00DF3C0A" w:rsidP="00DF3C0A">
      <w:pPr>
        <w:jc w:val="both"/>
      </w:pPr>
    </w:p>
    <w:p w:rsidR="00DF3C0A" w:rsidRDefault="00DF3C0A" w:rsidP="00DF3C0A">
      <w:pPr>
        <w:jc w:val="both"/>
      </w:pPr>
    </w:p>
    <w:p w:rsidR="00DF3C0A" w:rsidRPr="00DF3C0A" w:rsidRDefault="00DF3C0A" w:rsidP="00DF3C0A">
      <w:pPr>
        <w:jc w:val="both"/>
      </w:pPr>
    </w:p>
    <w:sectPr w:rsidR="00DF3C0A" w:rsidRPr="00DF3C0A" w:rsidSect="00B845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3C0A"/>
    <w:rsid w:val="00B15360"/>
    <w:rsid w:val="00B84565"/>
    <w:rsid w:val="00DF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56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479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DianaSN</dc:creator>
  <cp:lastModifiedBy>DianaSN</cp:lastModifiedBy>
  <cp:revision>2</cp:revision>
  <dcterms:created xsi:type="dcterms:W3CDTF">2009-12-09T17:45:00Z</dcterms:created>
  <dcterms:modified xsi:type="dcterms:W3CDTF">2009-12-09T18:05:00Z</dcterms:modified>
</cp:coreProperties>
</file>