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2E" w:rsidRPr="001B3F2E" w:rsidRDefault="00EA547C" w:rsidP="001B3F2E">
      <w:pPr>
        <w:jc w:val="center"/>
        <w:rPr>
          <w:b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Cap. 1: SNC – Visão Geral e conceitos básicos</w:t>
      </w:r>
    </w:p>
    <w:p w:rsidR="00F97991" w:rsidRDefault="00EA547C" w:rsidP="001B3F2E">
      <w:pPr>
        <w:jc w:val="both"/>
      </w:pPr>
      <w:r w:rsidRPr="00EA547C">
        <w:rPr>
          <w:b/>
          <w:color w:val="99CC00"/>
        </w:rPr>
        <w:t>SNC</w:t>
      </w:r>
      <w:r>
        <w:t xml:space="preserve"> - </w:t>
      </w:r>
      <w:r w:rsidR="001B3F2E">
        <w:t>É um conjunto de normas de contabilidade e de relato financeiro interligadas e interdependentes, que prefigura um modelo assente mais em princípios orientadores do que em regras explícitas de escrituração. É um modelo flexível que se adapta às diferentes necessidades de relato financeiro de cada empresa.</w:t>
      </w:r>
    </w:p>
    <w:p w:rsidR="001B3F2E" w:rsidRPr="001B3F2E" w:rsidRDefault="001B3F2E" w:rsidP="001B3F2E">
      <w:pPr>
        <w:jc w:val="both"/>
        <w:rPr>
          <w:b/>
          <w:color w:val="99CC00"/>
        </w:rPr>
      </w:pPr>
      <w:r w:rsidRPr="001B3F2E">
        <w:rPr>
          <w:b/>
          <w:color w:val="99CC00"/>
        </w:rPr>
        <w:t>Elementos fundamentais do SNC:</w:t>
      </w:r>
    </w:p>
    <w:p w:rsidR="001B3F2E" w:rsidRDefault="002370E9" w:rsidP="001B3F2E">
      <w:pPr>
        <w:pStyle w:val="PargrafodaLista"/>
        <w:numPr>
          <w:ilvl w:val="0"/>
          <w:numId w:val="1"/>
        </w:numPr>
        <w:jc w:val="both"/>
      </w:pPr>
      <w:r>
        <w:rPr>
          <w:noProof/>
          <w:lang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24.2pt;margin-top:1.45pt;width:7.15pt;height:92.25pt;z-index:251658240"/>
        </w:pict>
      </w:r>
      <w:r w:rsidR="001B3F2E" w:rsidRPr="001B3F2E">
        <w:t>Bases</w:t>
      </w:r>
      <w:r w:rsidR="001B3F2E">
        <w:t xml:space="preserve"> para apresentação de demonstrações financeiras (BADF)</w:t>
      </w:r>
    </w:p>
    <w:p w:rsidR="001B3F2E" w:rsidRDefault="001B3F2E" w:rsidP="001B3F2E">
      <w:pPr>
        <w:pStyle w:val="PargrafodaLista"/>
        <w:numPr>
          <w:ilvl w:val="0"/>
          <w:numId w:val="1"/>
        </w:numPr>
        <w:jc w:val="both"/>
      </w:pPr>
      <w:r>
        <w:t>Modelos de demonstrações financeiras (MDF)</w:t>
      </w:r>
    </w:p>
    <w:p w:rsidR="001B3F2E" w:rsidRDefault="002370E9" w:rsidP="001B3F2E">
      <w:pPr>
        <w:pStyle w:val="PargrafodaLista"/>
        <w:numPr>
          <w:ilvl w:val="0"/>
          <w:numId w:val="1"/>
        </w:num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9.1pt;margin-top:4.65pt;width:77.75pt;height:20pt;z-index:-251653120;mso-width-relative:margin;mso-height-relative:margin" wrapcoords="-208 0 -208 20800 21600 20800 21600 0 -208 0" stroked="f">
            <o:extrusion v:ext="view" rotationangle="25"/>
            <v:textbox>
              <w:txbxContent>
                <w:p w:rsidR="001B3F2E" w:rsidRDefault="001B3F2E">
                  <w:r>
                    <w:t>Instrumentos</w:t>
                  </w:r>
                </w:p>
              </w:txbxContent>
            </v:textbox>
            <w10:wrap type="tight"/>
          </v:shape>
        </w:pict>
      </w:r>
      <w:r w:rsidR="001B3F2E">
        <w:t xml:space="preserve">Código de contas (CC), que inclui </w:t>
      </w:r>
      <w:proofErr w:type="gramStart"/>
      <w:r w:rsidR="001B3F2E">
        <w:t>quadro</w:t>
      </w:r>
      <w:proofErr w:type="gramEnd"/>
      <w:r w:rsidR="001B3F2E">
        <w:t xml:space="preserve"> síntese de contas e notas de enquadramento</w:t>
      </w:r>
    </w:p>
    <w:p w:rsidR="001B3F2E" w:rsidRDefault="001B3F2E" w:rsidP="001B3F2E">
      <w:pPr>
        <w:pStyle w:val="PargrafodaLista"/>
        <w:numPr>
          <w:ilvl w:val="0"/>
          <w:numId w:val="1"/>
        </w:numPr>
        <w:jc w:val="both"/>
      </w:pPr>
      <w:r>
        <w:t>Normas contabilísticas e de relato financeiro</w:t>
      </w:r>
    </w:p>
    <w:p w:rsidR="001B3F2E" w:rsidRDefault="001B3F2E" w:rsidP="001B3F2E">
      <w:pPr>
        <w:pStyle w:val="PargrafodaLista"/>
        <w:numPr>
          <w:ilvl w:val="0"/>
          <w:numId w:val="1"/>
        </w:numPr>
        <w:jc w:val="both"/>
      </w:pPr>
      <w:r>
        <w:t>Norma contabilística e de relato financeiro para pequenas entidades (NCRF-PE)</w:t>
      </w:r>
    </w:p>
    <w:p w:rsidR="001B3F2E" w:rsidRDefault="002370E9" w:rsidP="001B3F2E">
      <w:pPr>
        <w:pStyle w:val="PargrafodaLista"/>
        <w:numPr>
          <w:ilvl w:val="0"/>
          <w:numId w:val="1"/>
        </w:numPr>
        <w:jc w:val="both"/>
      </w:pPr>
      <w:r>
        <w:rPr>
          <w:noProof/>
        </w:rPr>
        <w:pict>
          <v:shape id="_x0000_s1028" type="#_x0000_t202" style="position:absolute;left:0;text-align:left;margin-left:232.2pt;margin-top:14.9pt;width:161.75pt;height:21.5pt;z-index:251661312;mso-width-relative:margin;mso-height-relative:margin" stroked="f">
            <v:textbox>
              <w:txbxContent>
                <w:p w:rsidR="001B3F2E" w:rsidRDefault="001B3F2E">
                  <w:r>
                    <w:t>Elemento de enquadramento</w:t>
                  </w:r>
                </w:p>
              </w:txbxContent>
            </v:textbox>
          </v:shape>
        </w:pict>
      </w:r>
      <w:r w:rsidR="001B3F2E">
        <w:t>Normas interpretativas</w:t>
      </w:r>
    </w:p>
    <w:p w:rsidR="001B3F2E" w:rsidRDefault="002370E9" w:rsidP="001B3F2E">
      <w:pPr>
        <w:pStyle w:val="PargrafodaLista"/>
        <w:numPr>
          <w:ilvl w:val="0"/>
          <w:numId w:val="1"/>
        </w:numPr>
        <w:jc w:val="both"/>
      </w:pPr>
      <w:r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5.45pt;margin-top:8.8pt;width:63pt;height:0;z-index:251659264" o:connectortype="straight">
            <v:stroke endarrow="block"/>
          </v:shape>
        </w:pict>
      </w:r>
      <w:r w:rsidR="001B3F2E">
        <w:t>Estrutura Conceptual EC)</w:t>
      </w:r>
    </w:p>
    <w:p w:rsidR="00B53D95" w:rsidRDefault="00B53D95" w:rsidP="00B53D95">
      <w:pPr>
        <w:pStyle w:val="PargrafodaLista"/>
        <w:jc w:val="both"/>
      </w:pPr>
    </w:p>
    <w:p w:rsidR="00B53D95" w:rsidRPr="00701560" w:rsidRDefault="00B53D95" w:rsidP="00B53D95">
      <w:pPr>
        <w:jc w:val="both"/>
      </w:pPr>
      <w:r w:rsidRPr="00B53D95">
        <w:rPr>
          <w:b/>
        </w:rPr>
        <w:t>NOTA:</w:t>
      </w:r>
      <w:r>
        <w:t xml:space="preserve"> Se houver um conflito entre o disposto na EC e numa qualquer NCRF, prevalecem sempre os requisitos da NCRF, porque a EC, ao invés das NCRF, não afecta directamente a prática contabilística. Quando existe uma relação de generalidade/especialidade entre normas, como é o caso da EC/NCRF, prevalece a norma especial (NCRF).</w:t>
      </w:r>
    </w:p>
    <w:p w:rsidR="001B3F2E" w:rsidRPr="004A6EC3" w:rsidRDefault="004A6EC3" w:rsidP="009F30BD">
      <w:pPr>
        <w:jc w:val="both"/>
        <w:rPr>
          <w:b/>
          <w:color w:val="99CC00"/>
        </w:rPr>
      </w:pPr>
      <w:r w:rsidRPr="004A6EC3">
        <w:rPr>
          <w:b/>
          <w:color w:val="99CC00"/>
        </w:rPr>
        <w:t>Regimes do SNC:</w:t>
      </w:r>
    </w:p>
    <w:p w:rsidR="004A6EC3" w:rsidRDefault="004A6EC3" w:rsidP="009F30BD">
      <w:pPr>
        <w:pStyle w:val="PargrafodaLista"/>
        <w:numPr>
          <w:ilvl w:val="0"/>
          <w:numId w:val="2"/>
        </w:numPr>
        <w:jc w:val="both"/>
      </w:pPr>
      <w:proofErr w:type="gramStart"/>
      <w:r>
        <w:t xml:space="preserve">Regime Geral </w:t>
      </w:r>
      <w:r>
        <w:sym w:font="Wingdings 3" w:char="F022"/>
      </w:r>
      <w:r>
        <w:t xml:space="preserve"> Aplicam</w:t>
      </w:r>
      <w:proofErr w:type="gramEnd"/>
      <w:r>
        <w:t>-se as NCRF</w:t>
      </w:r>
    </w:p>
    <w:p w:rsidR="004A6EC3" w:rsidRDefault="004A6EC3" w:rsidP="009F30BD">
      <w:pPr>
        <w:pStyle w:val="PargrafodaLista"/>
        <w:numPr>
          <w:ilvl w:val="0"/>
          <w:numId w:val="2"/>
        </w:numPr>
        <w:jc w:val="both"/>
      </w:pPr>
      <w:r>
        <w:t xml:space="preserve">Regime das pequenas entidades </w:t>
      </w:r>
      <w:r>
        <w:sym w:font="Wingdings 3" w:char="F022"/>
      </w:r>
      <w:r>
        <w:t xml:space="preserve"> Aplica-se a NCRF-PE</w:t>
      </w:r>
    </w:p>
    <w:p w:rsidR="00F97991" w:rsidRPr="00F97991" w:rsidRDefault="00F97991" w:rsidP="00F97991">
      <w:pPr>
        <w:spacing w:after="0"/>
        <w:jc w:val="both"/>
      </w:pPr>
      <w:r w:rsidRPr="00F97991">
        <w:t>Características Qualitativas da informação financeira:</w:t>
      </w:r>
    </w:p>
    <w:p w:rsidR="00F97991" w:rsidRPr="00F97991" w:rsidRDefault="00F97991" w:rsidP="00F97991">
      <w:pPr>
        <w:pStyle w:val="PargrafodaLista"/>
        <w:numPr>
          <w:ilvl w:val="0"/>
          <w:numId w:val="9"/>
        </w:numPr>
        <w:jc w:val="both"/>
      </w:pPr>
      <w:r w:rsidRPr="00F97991">
        <w:t>Compreensibilidade</w:t>
      </w:r>
    </w:p>
    <w:p w:rsidR="00F97991" w:rsidRPr="00F97991" w:rsidRDefault="00F97991" w:rsidP="00F97991">
      <w:pPr>
        <w:pStyle w:val="PargrafodaLista"/>
        <w:numPr>
          <w:ilvl w:val="0"/>
          <w:numId w:val="9"/>
        </w:numPr>
        <w:jc w:val="both"/>
      </w:pPr>
      <w:r w:rsidRPr="00F97991">
        <w:t>Relevância</w:t>
      </w:r>
    </w:p>
    <w:p w:rsidR="00F97991" w:rsidRPr="00F97991" w:rsidRDefault="00F97991" w:rsidP="00F97991">
      <w:pPr>
        <w:pStyle w:val="PargrafodaLista"/>
        <w:numPr>
          <w:ilvl w:val="0"/>
          <w:numId w:val="9"/>
        </w:numPr>
        <w:jc w:val="both"/>
      </w:pPr>
      <w:r w:rsidRPr="00F97991">
        <w:t>Fiabilidade</w:t>
      </w:r>
    </w:p>
    <w:p w:rsidR="00F97991" w:rsidRPr="00F97991" w:rsidRDefault="00F97991" w:rsidP="00F97991">
      <w:pPr>
        <w:pStyle w:val="PargrafodaLista"/>
        <w:numPr>
          <w:ilvl w:val="0"/>
          <w:numId w:val="9"/>
        </w:numPr>
        <w:jc w:val="both"/>
      </w:pPr>
      <w:r w:rsidRPr="00F97991">
        <w:t>Comparabilidade</w:t>
      </w:r>
    </w:p>
    <w:p w:rsidR="004A6EC3" w:rsidRDefault="009F30BD" w:rsidP="009F30BD">
      <w:pPr>
        <w:jc w:val="both"/>
      </w:pPr>
      <w:r w:rsidRPr="009F30BD">
        <w:rPr>
          <w:b/>
          <w:color w:val="99CC00"/>
        </w:rPr>
        <w:t>Paradigma da utilidade</w:t>
      </w:r>
      <w:r>
        <w:t xml:space="preserve"> – as demonstrações financeiras preparadas com o propósito de proporcionar informação que seja útil na tomada de decisões económicas devem responder às necessidades comuns da maior parte dos utentes.</w:t>
      </w:r>
    </w:p>
    <w:p w:rsidR="009F30BD" w:rsidRDefault="00F107E8" w:rsidP="009F30BD">
      <w:pPr>
        <w:jc w:val="both"/>
        <w:rPr>
          <w:b/>
          <w:color w:val="99CC00"/>
        </w:rPr>
      </w:pPr>
      <w:r w:rsidRPr="00F107E8">
        <w:rPr>
          <w:b/>
          <w:color w:val="99CC00"/>
        </w:rPr>
        <w:t>Conjunto Completo de DF:</w:t>
      </w:r>
    </w:p>
    <w:p w:rsidR="00F107E8" w:rsidRDefault="00F107E8" w:rsidP="00F107E8">
      <w:pPr>
        <w:pStyle w:val="PargrafodaLista"/>
        <w:numPr>
          <w:ilvl w:val="0"/>
          <w:numId w:val="5"/>
        </w:numPr>
        <w:jc w:val="both"/>
        <w:rPr>
          <w:color w:val="000000" w:themeColor="text1"/>
        </w:rPr>
      </w:pPr>
      <w:r w:rsidRPr="00F107E8">
        <w:rPr>
          <w:color w:val="000000" w:themeColor="text1"/>
        </w:rPr>
        <w:t>Balanço</w:t>
      </w:r>
    </w:p>
    <w:p w:rsidR="00F107E8" w:rsidRDefault="00F107E8" w:rsidP="00F107E8">
      <w:pPr>
        <w:pStyle w:val="PargrafodaLis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DRN</w:t>
      </w:r>
    </w:p>
    <w:p w:rsidR="00F107E8" w:rsidRPr="00F107E8" w:rsidRDefault="00F107E8" w:rsidP="00F107E8">
      <w:pPr>
        <w:pStyle w:val="PargrafodaLis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DRF</w:t>
      </w:r>
    </w:p>
    <w:p w:rsidR="00F107E8" w:rsidRDefault="00F107E8" w:rsidP="00F107E8">
      <w:pPr>
        <w:pStyle w:val="PargrafodaLis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DFC (Demonstração dos Fluxos de Caixa)</w:t>
      </w:r>
    </w:p>
    <w:p w:rsidR="00F107E8" w:rsidRDefault="00F107E8" w:rsidP="00F107E8">
      <w:pPr>
        <w:pStyle w:val="PargrafodaLis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DACP (Demonstração das alterações no capital próprio)</w:t>
      </w:r>
    </w:p>
    <w:p w:rsidR="00F107E8" w:rsidRDefault="00F107E8" w:rsidP="00F107E8">
      <w:pPr>
        <w:pStyle w:val="PargrafodaLista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Anexo</w:t>
      </w:r>
    </w:p>
    <w:p w:rsidR="00B53D95" w:rsidRPr="00B53D95" w:rsidRDefault="00B53D95" w:rsidP="00B53D95">
      <w:pPr>
        <w:jc w:val="both"/>
        <w:rPr>
          <w:color w:val="000000" w:themeColor="text1"/>
        </w:rPr>
      </w:pPr>
    </w:p>
    <w:tbl>
      <w:tblPr>
        <w:tblStyle w:val="SombreadoClaro-Cor3"/>
        <w:tblW w:w="8755" w:type="dxa"/>
        <w:tblLook w:val="04A0"/>
      </w:tblPr>
      <w:tblGrid>
        <w:gridCol w:w="4361"/>
        <w:gridCol w:w="4394"/>
      </w:tblGrid>
      <w:tr w:rsidR="00F107E8" w:rsidTr="00F107E8">
        <w:trPr>
          <w:cnfStyle w:val="100000000000"/>
        </w:trPr>
        <w:tc>
          <w:tcPr>
            <w:cnfStyle w:val="001000000000"/>
            <w:tcW w:w="4361" w:type="dxa"/>
            <w:vAlign w:val="center"/>
          </w:tcPr>
          <w:p w:rsidR="00F107E8" w:rsidRDefault="00F107E8" w:rsidP="00F107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Conjunto Completo de DF (CCDF)</w:t>
            </w:r>
          </w:p>
        </w:tc>
        <w:tc>
          <w:tcPr>
            <w:tcW w:w="4394" w:type="dxa"/>
            <w:vAlign w:val="center"/>
          </w:tcPr>
          <w:p w:rsidR="00F107E8" w:rsidRDefault="00F107E8" w:rsidP="00F107E8">
            <w:pPr>
              <w:jc w:val="center"/>
              <w:cnfStyle w:val="1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Demonstrações Financeiras Obrigatórias (DFO)</w:t>
            </w:r>
          </w:p>
        </w:tc>
      </w:tr>
      <w:tr w:rsidR="00F107E8" w:rsidRPr="00F107E8" w:rsidTr="00F107E8">
        <w:trPr>
          <w:cnfStyle w:val="000000100000"/>
        </w:trPr>
        <w:tc>
          <w:tcPr>
            <w:cnfStyle w:val="001000000000"/>
            <w:tcW w:w="4361" w:type="dxa"/>
          </w:tcPr>
          <w:p w:rsidR="00F107E8" w:rsidRPr="00F107E8" w:rsidRDefault="00F107E8" w:rsidP="00F107E8">
            <w:pPr>
              <w:jc w:val="both"/>
              <w:rPr>
                <w:b w:val="0"/>
                <w:color w:val="000000" w:themeColor="text1"/>
              </w:rPr>
            </w:pPr>
            <w:r w:rsidRPr="00F107E8">
              <w:rPr>
                <w:b w:val="0"/>
                <w:color w:val="000000" w:themeColor="text1"/>
              </w:rPr>
              <w:t>Balanço</w:t>
            </w:r>
          </w:p>
        </w:tc>
        <w:tc>
          <w:tcPr>
            <w:tcW w:w="4394" w:type="dxa"/>
          </w:tcPr>
          <w:p w:rsidR="00F107E8" w:rsidRPr="00F107E8" w:rsidRDefault="00F107E8" w:rsidP="00F107E8">
            <w:pPr>
              <w:jc w:val="both"/>
              <w:cnfStyle w:val="000000100000"/>
              <w:rPr>
                <w:color w:val="000000" w:themeColor="text1"/>
              </w:rPr>
            </w:pPr>
            <w:r w:rsidRPr="00F107E8">
              <w:rPr>
                <w:color w:val="000000" w:themeColor="text1"/>
              </w:rPr>
              <w:t>Balanço</w:t>
            </w:r>
          </w:p>
        </w:tc>
      </w:tr>
      <w:tr w:rsidR="00F107E8" w:rsidRPr="00F107E8" w:rsidTr="00F107E8">
        <w:tc>
          <w:tcPr>
            <w:cnfStyle w:val="001000000000"/>
            <w:tcW w:w="4361" w:type="dxa"/>
          </w:tcPr>
          <w:p w:rsidR="00F107E8" w:rsidRPr="00F107E8" w:rsidRDefault="002370E9" w:rsidP="00F107E8">
            <w:pPr>
              <w:jc w:val="both"/>
              <w:rPr>
                <w:b w:val="0"/>
                <w:color w:val="000000" w:themeColor="text1"/>
              </w:rPr>
            </w:pPr>
            <w:r w:rsidRPr="002370E9">
              <w:rPr>
                <w:b w:val="0"/>
                <w:noProof/>
                <w:color w:val="000000" w:themeColor="text1"/>
                <w:lang w:eastAsia="pt-PT"/>
              </w:rPr>
              <w:pict>
                <v:oval id="_x0000_s1030" style="position:absolute;left:0;text-align:left;margin-left:177.7pt;margin-top:.35pt;width:23.25pt;height:14.25pt;z-index:251664384;mso-position-horizontal-relative:text;mso-position-vertical-relative:text" filled="f"/>
              </w:pict>
            </w:r>
            <w:r w:rsidR="00F107E8" w:rsidRPr="00F107E8">
              <w:rPr>
                <w:b w:val="0"/>
                <w:color w:val="000000" w:themeColor="text1"/>
              </w:rPr>
              <w:t>Demonstração dos Resultados (DRN ou DRF)</w:t>
            </w:r>
          </w:p>
        </w:tc>
        <w:tc>
          <w:tcPr>
            <w:tcW w:w="4394" w:type="dxa"/>
          </w:tcPr>
          <w:p w:rsidR="00F107E8" w:rsidRPr="00F107E8" w:rsidRDefault="00F107E8" w:rsidP="00F107E8">
            <w:pPr>
              <w:jc w:val="both"/>
              <w:cnfStyle w:val="000000000000"/>
              <w:rPr>
                <w:color w:val="000000" w:themeColor="text1"/>
              </w:rPr>
            </w:pPr>
            <w:r w:rsidRPr="00F107E8">
              <w:rPr>
                <w:color w:val="000000" w:themeColor="text1"/>
              </w:rPr>
              <w:t>Demonstração dos resultados (DRN)</w:t>
            </w:r>
          </w:p>
        </w:tc>
      </w:tr>
      <w:tr w:rsidR="00F107E8" w:rsidRPr="00F107E8" w:rsidTr="00F107E8">
        <w:trPr>
          <w:cnfStyle w:val="000000100000"/>
        </w:trPr>
        <w:tc>
          <w:tcPr>
            <w:cnfStyle w:val="001000000000"/>
            <w:tcW w:w="4361" w:type="dxa"/>
          </w:tcPr>
          <w:p w:rsidR="00F107E8" w:rsidRPr="00F107E8" w:rsidRDefault="002370E9" w:rsidP="00F107E8">
            <w:pPr>
              <w:jc w:val="both"/>
              <w:rPr>
                <w:b w:val="0"/>
                <w:color w:val="000000" w:themeColor="text1"/>
              </w:rPr>
            </w:pPr>
            <w:r w:rsidRPr="002370E9">
              <w:rPr>
                <w:b w:val="0"/>
                <w:noProof/>
                <w:color w:val="000000" w:themeColor="text1"/>
                <w:lang w:eastAsia="pt-PT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1" type="#_x0000_t38" style="position:absolute;left:0;text-align:left;margin-left:178.85pt;margin-top:15.75pt;width:44pt;height:14.75pt;rotation:90;flip:x;z-index:251665408;mso-position-horizontal-relative:text;mso-position-vertical-relative:text" o:connectortype="curved" adj="10800,963067,-136718">
                  <v:stroke endarrow="block"/>
                </v:shape>
              </w:pict>
            </w:r>
            <w:r w:rsidR="00F107E8" w:rsidRPr="00F107E8">
              <w:rPr>
                <w:b w:val="0"/>
                <w:color w:val="000000" w:themeColor="text1"/>
              </w:rPr>
              <w:t>Demonstração das alterações no CP (DACP)</w:t>
            </w:r>
          </w:p>
        </w:tc>
        <w:tc>
          <w:tcPr>
            <w:tcW w:w="4394" w:type="dxa"/>
          </w:tcPr>
          <w:p w:rsidR="00F107E8" w:rsidRPr="00F107E8" w:rsidRDefault="00F107E8" w:rsidP="00F107E8">
            <w:pPr>
              <w:jc w:val="both"/>
              <w:cnfStyle w:val="000000100000"/>
              <w:rPr>
                <w:color w:val="000000" w:themeColor="text1"/>
              </w:rPr>
            </w:pPr>
            <w:r w:rsidRPr="00F107E8">
              <w:rPr>
                <w:color w:val="000000" w:themeColor="text1"/>
              </w:rPr>
              <w:t>Demonstração das alterações no CP (DACP)</w:t>
            </w:r>
          </w:p>
        </w:tc>
      </w:tr>
      <w:tr w:rsidR="00F107E8" w:rsidRPr="00F107E8" w:rsidTr="00F107E8">
        <w:tc>
          <w:tcPr>
            <w:cnfStyle w:val="001000000000"/>
            <w:tcW w:w="4361" w:type="dxa"/>
          </w:tcPr>
          <w:p w:rsidR="00F107E8" w:rsidRPr="00F107E8" w:rsidRDefault="00F107E8" w:rsidP="00F107E8">
            <w:pPr>
              <w:jc w:val="both"/>
              <w:rPr>
                <w:b w:val="0"/>
                <w:color w:val="000000" w:themeColor="text1"/>
              </w:rPr>
            </w:pPr>
            <w:r w:rsidRPr="00F107E8">
              <w:rPr>
                <w:b w:val="0"/>
                <w:color w:val="000000" w:themeColor="text1"/>
              </w:rPr>
              <w:t>Demonstração dos fluxos de caixa (DFC)</w:t>
            </w:r>
          </w:p>
        </w:tc>
        <w:tc>
          <w:tcPr>
            <w:tcW w:w="4394" w:type="dxa"/>
          </w:tcPr>
          <w:p w:rsidR="00F107E8" w:rsidRPr="00F107E8" w:rsidRDefault="00F107E8" w:rsidP="00F107E8">
            <w:pPr>
              <w:jc w:val="both"/>
              <w:cnfStyle w:val="000000000000"/>
              <w:rPr>
                <w:color w:val="000000" w:themeColor="text1"/>
              </w:rPr>
            </w:pPr>
            <w:r w:rsidRPr="00F107E8">
              <w:rPr>
                <w:color w:val="000000" w:themeColor="text1"/>
              </w:rPr>
              <w:t>DFC</w:t>
            </w:r>
            <w:r w:rsidR="00F17C41">
              <w:rPr>
                <w:color w:val="000000" w:themeColor="text1"/>
              </w:rPr>
              <w:t xml:space="preserve"> pelo método directo</w:t>
            </w:r>
          </w:p>
        </w:tc>
      </w:tr>
      <w:tr w:rsidR="00F107E8" w:rsidRPr="00F107E8" w:rsidTr="00F107E8">
        <w:trPr>
          <w:cnfStyle w:val="000000100000"/>
        </w:trPr>
        <w:tc>
          <w:tcPr>
            <w:cnfStyle w:val="001000000000"/>
            <w:tcW w:w="4361" w:type="dxa"/>
          </w:tcPr>
          <w:p w:rsidR="00F107E8" w:rsidRPr="00F107E8" w:rsidRDefault="002370E9" w:rsidP="00F107E8">
            <w:pPr>
              <w:jc w:val="both"/>
              <w:rPr>
                <w:b w:val="0"/>
                <w:color w:val="000000" w:themeColor="text1"/>
              </w:rPr>
            </w:pPr>
            <w:r w:rsidRPr="002370E9">
              <w:rPr>
                <w:b w:val="0"/>
                <w:noProof/>
                <w:color w:val="000000" w:themeColor="text1"/>
              </w:rPr>
              <w:pict>
                <v:shape id="_x0000_s1032" type="#_x0000_t202" style="position:absolute;left:0;text-align:left;margin-left:186.5pt;margin-top:18.3pt;width:58.15pt;height:21.85pt;z-index:251667456;mso-position-horizontal-relative:text;mso-position-vertical-relative:text;mso-width-relative:margin;mso-height-relative:margin" filled="f" stroked="f">
                  <v:textbox>
                    <w:txbxContent>
                      <w:p w:rsidR="001D19C9" w:rsidRPr="001D19C9" w:rsidRDefault="001D19C9">
                        <w:pPr>
                          <w:cnfStyle w:val="001000100000"/>
                          <w:rPr>
                            <w:sz w:val="18"/>
                            <w:szCs w:val="18"/>
                          </w:rPr>
                        </w:pPr>
                        <w:r w:rsidRPr="001D19C9">
                          <w:rPr>
                            <w:sz w:val="18"/>
                            <w:szCs w:val="18"/>
                          </w:rPr>
                          <w:t>Facultativa</w:t>
                        </w:r>
                      </w:p>
                    </w:txbxContent>
                  </v:textbox>
                </v:shape>
              </w:pict>
            </w:r>
            <w:r w:rsidR="00F107E8" w:rsidRPr="00F107E8">
              <w:rPr>
                <w:b w:val="0"/>
                <w:color w:val="000000" w:themeColor="text1"/>
              </w:rPr>
              <w:t>Anexo</w:t>
            </w:r>
          </w:p>
        </w:tc>
        <w:tc>
          <w:tcPr>
            <w:tcW w:w="4394" w:type="dxa"/>
          </w:tcPr>
          <w:p w:rsidR="00F107E8" w:rsidRPr="00F107E8" w:rsidRDefault="00F107E8" w:rsidP="00F107E8">
            <w:pPr>
              <w:jc w:val="both"/>
              <w:cnfStyle w:val="000000100000"/>
              <w:rPr>
                <w:color w:val="000000" w:themeColor="text1"/>
              </w:rPr>
            </w:pPr>
            <w:r w:rsidRPr="00F107E8">
              <w:rPr>
                <w:color w:val="000000" w:themeColor="text1"/>
              </w:rPr>
              <w:t>Anexo</w:t>
            </w:r>
          </w:p>
        </w:tc>
      </w:tr>
    </w:tbl>
    <w:p w:rsidR="00B53D95" w:rsidRDefault="00B53D95" w:rsidP="00F107E8">
      <w:pPr>
        <w:jc w:val="both"/>
        <w:rPr>
          <w:b/>
          <w:color w:val="99CC00"/>
        </w:rPr>
      </w:pPr>
    </w:p>
    <w:p w:rsidR="00B53D95" w:rsidRDefault="00B53D95" w:rsidP="00F107E8">
      <w:pPr>
        <w:jc w:val="both"/>
        <w:rPr>
          <w:b/>
          <w:color w:val="99CC00"/>
        </w:rPr>
      </w:pPr>
    </w:p>
    <w:p w:rsidR="001D19C9" w:rsidRDefault="0071349C" w:rsidP="00F107E8">
      <w:pPr>
        <w:jc w:val="both"/>
        <w:rPr>
          <w:color w:val="000000" w:themeColor="text1"/>
        </w:rPr>
      </w:pPr>
      <w:r>
        <w:rPr>
          <w:b/>
          <w:color w:val="99CC00"/>
        </w:rPr>
        <w:t xml:space="preserve">Empresa mãe – </w:t>
      </w:r>
      <w:r w:rsidRPr="0071349C">
        <w:rPr>
          <w:color w:val="000000" w:themeColor="text1"/>
        </w:rPr>
        <w:t>é uma entidade que detém uma ou mais subsidiárias.</w:t>
      </w:r>
    </w:p>
    <w:p w:rsidR="0071349C" w:rsidRDefault="0071349C" w:rsidP="00F107E8">
      <w:pPr>
        <w:jc w:val="both"/>
        <w:rPr>
          <w:color w:val="000000" w:themeColor="text1"/>
        </w:rPr>
      </w:pPr>
      <w:r>
        <w:rPr>
          <w:b/>
          <w:color w:val="99CC00"/>
        </w:rPr>
        <w:t xml:space="preserve">Subsidiária – </w:t>
      </w:r>
      <w:r w:rsidRPr="0071349C">
        <w:rPr>
          <w:color w:val="000000" w:themeColor="text1"/>
        </w:rPr>
        <w:t xml:space="preserve">é uma entidade, ainda que não constituída sob a forma de sociedade, que é </w:t>
      </w:r>
      <w:r w:rsidRPr="0071349C">
        <w:rPr>
          <w:color w:val="000000" w:themeColor="text1"/>
          <w:u w:val="single"/>
        </w:rPr>
        <w:t>controlada</w:t>
      </w:r>
      <w:r w:rsidRPr="0071349C">
        <w:rPr>
          <w:color w:val="000000" w:themeColor="text1"/>
        </w:rPr>
        <w:t xml:space="preserve"> por uma outra entidade, designada por empresa mãe.</w:t>
      </w:r>
    </w:p>
    <w:p w:rsidR="0071349C" w:rsidRPr="0071349C" w:rsidRDefault="0071349C" w:rsidP="00F107E8">
      <w:pPr>
        <w:jc w:val="both"/>
        <w:rPr>
          <w:b/>
          <w:color w:val="99CC00"/>
        </w:rPr>
      </w:pPr>
      <w:r w:rsidRPr="0071349C">
        <w:rPr>
          <w:b/>
          <w:color w:val="99CC00"/>
        </w:rPr>
        <w:t>Ciclos de Operações / Actividades:</w:t>
      </w:r>
    </w:p>
    <w:p w:rsidR="0071349C" w:rsidRDefault="0071349C" w:rsidP="0071349C">
      <w:pPr>
        <w:pStyle w:val="PargrafodaLista"/>
        <w:numPr>
          <w:ilvl w:val="0"/>
          <w:numId w:val="6"/>
        </w:numPr>
        <w:jc w:val="both"/>
        <w:rPr>
          <w:color w:val="000000" w:themeColor="text1"/>
        </w:rPr>
      </w:pPr>
      <w:r w:rsidRPr="0071349C">
        <w:rPr>
          <w:color w:val="000000" w:themeColor="text1"/>
          <w:u w:val="single"/>
        </w:rPr>
        <w:t>Ciclo Operacional</w:t>
      </w:r>
      <w:r>
        <w:rPr>
          <w:color w:val="000000" w:themeColor="text1"/>
        </w:rPr>
        <w:t xml:space="preserve"> – compreende as operações relacionadas com a actividade normal/corrente da empresa, i.e., as operações directamente relacionadas com a operação do negócio.</w:t>
      </w:r>
    </w:p>
    <w:p w:rsidR="0071349C" w:rsidRPr="0071349C" w:rsidRDefault="0071349C" w:rsidP="0071349C">
      <w:pPr>
        <w:pStyle w:val="PargrafodaLista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71349C">
        <w:rPr>
          <w:color w:val="000000" w:themeColor="text1"/>
          <w:u w:val="single"/>
        </w:rPr>
        <w:t>Ciclo de Investimento</w:t>
      </w:r>
      <w:r>
        <w:rPr>
          <w:color w:val="000000" w:themeColor="text1"/>
        </w:rPr>
        <w:t xml:space="preserve"> – engloba a aquisição e alienação de activos a longo prazo e de outros investimentos não incluídos em equivalentes a caixa. (Activos fixos tangíveis, activos intangíveis, investimentos financeiros e propriedades de investimento)</w:t>
      </w:r>
    </w:p>
    <w:p w:rsidR="0071349C" w:rsidRPr="0071349C" w:rsidRDefault="0071349C" w:rsidP="0071349C">
      <w:pPr>
        <w:pStyle w:val="PargrafodaLista"/>
        <w:numPr>
          <w:ilvl w:val="0"/>
          <w:numId w:val="6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Ciclo de financiamento</w:t>
      </w:r>
      <w:r>
        <w:rPr>
          <w:color w:val="000000" w:themeColor="text1"/>
        </w:rPr>
        <w:t xml:space="preserve"> – compreende as actividades que originam alterações na dimensão e composição do capital próprio contribuído e nos empréstimos contraídos pela entidade.</w:t>
      </w:r>
    </w:p>
    <w:p w:rsidR="0071349C" w:rsidRPr="00313F3B" w:rsidRDefault="00313F3B" w:rsidP="0071349C">
      <w:pPr>
        <w:jc w:val="both"/>
        <w:rPr>
          <w:b/>
          <w:color w:val="99CC00"/>
        </w:rPr>
      </w:pPr>
      <w:r w:rsidRPr="00313F3B">
        <w:rPr>
          <w:b/>
          <w:color w:val="99CC00"/>
        </w:rPr>
        <w:t>Bases para a apresentação das demonstrações financeiras (BADF):</w:t>
      </w:r>
    </w:p>
    <w:p w:rsidR="00313F3B" w:rsidRPr="00313F3B" w:rsidRDefault="00313F3B" w:rsidP="00313F3B">
      <w:pPr>
        <w:pStyle w:val="PargrafodaLista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Continuidade</w:t>
      </w:r>
      <w:r>
        <w:t xml:space="preserve"> – As DF devem ser preparadas no pressuposto de que a empresa é uma entidade em continuidade; significa que não existem dúvidas significativas de que a entidade continuará a operar no futuro previsível.</w:t>
      </w:r>
    </w:p>
    <w:p w:rsidR="00313F3B" w:rsidRPr="00313F3B" w:rsidRDefault="00313F3B" w:rsidP="00313F3B">
      <w:pPr>
        <w:pStyle w:val="PargrafodaLista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Regime de acréscimo (periodização económica)</w:t>
      </w:r>
      <w:r>
        <w:t xml:space="preserve"> – os efeitos da transacções e de outros acontecimentos são reconhecidos e relatados nas DF ando ocorrem e não quando o dinheiro ou o seu equivalente é recebido ou pago. (Excepção: DFC)</w:t>
      </w:r>
    </w:p>
    <w:p w:rsidR="00313F3B" w:rsidRPr="00313F3B" w:rsidRDefault="00313F3B" w:rsidP="00313F3B">
      <w:pPr>
        <w:pStyle w:val="PargrafodaLista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Consistência de apresentação</w:t>
      </w:r>
      <w:r>
        <w:t xml:space="preserve"> – A apresentação e a classificação de itens nas DF devem ser mantidas de um período para outro.</w:t>
      </w:r>
    </w:p>
    <w:p w:rsidR="00313F3B" w:rsidRPr="00313F3B" w:rsidRDefault="00313F3B" w:rsidP="00313F3B">
      <w:pPr>
        <w:pStyle w:val="PargrafodaLista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Materialidade e agregação</w:t>
      </w:r>
      <w:r>
        <w:t xml:space="preserve"> – As DF devem ser apresentadas </w:t>
      </w:r>
      <w:proofErr w:type="gramStart"/>
      <w:r>
        <w:t>o mais agregadas</w:t>
      </w:r>
      <w:proofErr w:type="gramEnd"/>
      <w:r>
        <w:t xml:space="preserve"> possível, podendo desagregar os itens que sejam materialmente mais relevantes.</w:t>
      </w:r>
    </w:p>
    <w:p w:rsidR="00313F3B" w:rsidRPr="00313F3B" w:rsidRDefault="00313F3B" w:rsidP="00313F3B">
      <w:pPr>
        <w:pStyle w:val="PargrafodaLista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Compensação</w:t>
      </w:r>
      <w:r>
        <w:t xml:space="preserve"> – Regra geral, não deve haver compensação entre activos e passivos e entre rendimentos e gastos, excepto quando tal for exigido ou permitido por uma NCRF.</w:t>
      </w:r>
    </w:p>
    <w:p w:rsidR="00313F3B" w:rsidRPr="00313F3B" w:rsidRDefault="00313F3B" w:rsidP="00313F3B">
      <w:pPr>
        <w:pStyle w:val="PargrafodaLista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Informação Comparativa</w:t>
      </w:r>
      <w:r>
        <w:t xml:space="preserve"> – Deve ser divulgada informação comparativa com respeito ao período anterior.</w:t>
      </w:r>
    </w:p>
    <w:p w:rsidR="00B53D95" w:rsidRDefault="00B53D95" w:rsidP="00313F3B">
      <w:pPr>
        <w:jc w:val="both"/>
        <w:rPr>
          <w:b/>
          <w:color w:val="99CC00"/>
        </w:rPr>
      </w:pPr>
    </w:p>
    <w:p w:rsidR="00B53D95" w:rsidRDefault="00B53D95" w:rsidP="00313F3B">
      <w:pPr>
        <w:jc w:val="both"/>
        <w:rPr>
          <w:b/>
          <w:color w:val="99CC00"/>
        </w:rPr>
      </w:pPr>
    </w:p>
    <w:p w:rsidR="008762DB" w:rsidRDefault="00B53D95" w:rsidP="00313F3B">
      <w:pPr>
        <w:jc w:val="both"/>
        <w:rPr>
          <w:b/>
          <w:color w:val="99CC00"/>
        </w:rPr>
      </w:pPr>
      <w:r>
        <w:rPr>
          <w:b/>
          <w:color w:val="99CC00"/>
        </w:rPr>
        <w:lastRenderedPageBreak/>
        <w:t>B</w:t>
      </w:r>
      <w:r w:rsidR="004D2A76" w:rsidRPr="004D2A76">
        <w:rPr>
          <w:b/>
          <w:color w:val="99CC00"/>
        </w:rPr>
        <w:t>ases de mensuração dos activos</w:t>
      </w:r>
    </w:p>
    <w:p w:rsidR="004D2A76" w:rsidRDefault="004D2A76" w:rsidP="00313F3B">
      <w:pPr>
        <w:jc w:val="both"/>
      </w:pPr>
      <w:r>
        <w:rPr>
          <w:u w:val="single"/>
        </w:rPr>
        <w:t>Custo histórico:</w:t>
      </w:r>
      <w:r>
        <w:t xml:space="preserve"> é a quantia de dinheiro despendida para adquirir (produzir) o activo no momento da sua aquisição (produção).</w:t>
      </w:r>
    </w:p>
    <w:p w:rsidR="004D2A76" w:rsidRDefault="004D2A76" w:rsidP="00313F3B">
      <w:pPr>
        <w:jc w:val="both"/>
        <w:rPr>
          <w:i/>
        </w:rPr>
      </w:pPr>
      <w:r>
        <w:rPr>
          <w:u w:val="single"/>
        </w:rPr>
        <w:t>Custo corrente:</w:t>
      </w:r>
      <w:r>
        <w:t xml:space="preserve"> é a quantia de dinheiro que seria necessário despender se o mesmo activo ou um activo equivalente fosse correntemente adquirido. </w:t>
      </w:r>
      <w:r>
        <w:rPr>
          <w:i/>
        </w:rPr>
        <w:t>Valor não descontado.</w:t>
      </w:r>
    </w:p>
    <w:p w:rsidR="004D2A76" w:rsidRDefault="004D2A76" w:rsidP="00313F3B">
      <w:pPr>
        <w:jc w:val="both"/>
      </w:pPr>
      <w:r>
        <w:rPr>
          <w:u w:val="single"/>
        </w:rPr>
        <w:t>Valor realizável:</w:t>
      </w:r>
      <w:r>
        <w:t xml:space="preserve"> é a quantia de dinheiro que possa ser obtida (realizada) numa alienação ordenada. Exemplo: Inventários – pode ser enunciado como o preço de venda estimado no decurso ordinário da actividade da empresa menos os custos estimados de acabamento do inventário menos os custos estimados necessários para efectuar a venda. </w:t>
      </w:r>
      <w:r>
        <w:rPr>
          <w:i/>
        </w:rPr>
        <w:t>Valor não descontado.</w:t>
      </w:r>
      <w:r>
        <w:t xml:space="preserve"> </w:t>
      </w:r>
    </w:p>
    <w:p w:rsidR="004D2A76" w:rsidRDefault="004D2A76" w:rsidP="00313F3B">
      <w:pPr>
        <w:jc w:val="both"/>
        <w:rPr>
          <w:i/>
        </w:rPr>
      </w:pPr>
      <w:r>
        <w:rPr>
          <w:u w:val="single"/>
        </w:rPr>
        <w:t>Valor presente</w:t>
      </w:r>
      <w:r>
        <w:t xml:space="preserve">: o activo é registado pelo valor presente descontado dos futuros fluxos líquidos de caixa (é ≈ ao valor actual). </w:t>
      </w:r>
      <w:r>
        <w:rPr>
          <w:i/>
        </w:rPr>
        <w:t>Valor descontado.</w:t>
      </w:r>
    </w:p>
    <w:p w:rsidR="004D2A76" w:rsidRDefault="004D2A76" w:rsidP="00313F3B">
      <w:pPr>
        <w:jc w:val="both"/>
      </w:pPr>
      <w:r>
        <w:rPr>
          <w:u w:val="single"/>
        </w:rPr>
        <w:t>Justo Valor:</w:t>
      </w:r>
      <w:r>
        <w:t xml:space="preserve"> é a quantia pela qual um activo pode ser trocado entre partes conhecedoras e dispostas a isso, numa transacção em que não exista relacionamento entre elas. Exemplo: cotação de mercado.</w:t>
      </w:r>
    </w:p>
    <w:p w:rsidR="004D2A76" w:rsidRDefault="004D2A76" w:rsidP="00313F3B">
      <w:pPr>
        <w:jc w:val="both"/>
        <w:rPr>
          <w:b/>
          <w:color w:val="99CC00"/>
        </w:rPr>
      </w:pPr>
      <w:r>
        <w:rPr>
          <w:b/>
          <w:color w:val="99CC00"/>
        </w:rPr>
        <w:t xml:space="preserve">Bases </w:t>
      </w:r>
      <w:r w:rsidRPr="004D2A76">
        <w:rPr>
          <w:b/>
          <w:color w:val="99CC00"/>
        </w:rPr>
        <w:t>de mensuração dos passivos:</w:t>
      </w:r>
    </w:p>
    <w:p w:rsidR="004D2A76" w:rsidRDefault="004D2A76" w:rsidP="00313F3B">
      <w:pPr>
        <w:jc w:val="both"/>
      </w:pPr>
      <w:r w:rsidRPr="004D2A76">
        <w:rPr>
          <w:u w:val="single"/>
        </w:rPr>
        <w:t>Custo</w:t>
      </w:r>
      <w:r>
        <w:rPr>
          <w:u w:val="single"/>
        </w:rPr>
        <w:t xml:space="preserve"> histórico:</w:t>
      </w:r>
      <w:r>
        <w:t xml:space="preserve"> o passivo é registado, </w:t>
      </w:r>
      <w:proofErr w:type="spellStart"/>
      <w:r>
        <w:t>v.g</w:t>
      </w:r>
      <w:proofErr w:type="spellEnd"/>
      <w:r>
        <w:t>., pela quantia de proventos recebidos em troca da obrigação.</w:t>
      </w:r>
    </w:p>
    <w:p w:rsidR="004D2A76" w:rsidRDefault="004D2A76" w:rsidP="00313F3B">
      <w:pPr>
        <w:jc w:val="both"/>
        <w:rPr>
          <w:i/>
        </w:rPr>
      </w:pPr>
      <w:r>
        <w:rPr>
          <w:u w:val="single"/>
        </w:rPr>
        <w:t>Custo corrente:</w:t>
      </w:r>
      <w:r>
        <w:t xml:space="preserve"> o passivo é escriturado pela quantia não descontada de caixa que seria necessária para liquidar correntemente esse passivo (a dívida). </w:t>
      </w:r>
      <w:r>
        <w:rPr>
          <w:i/>
        </w:rPr>
        <w:t>Valor não descontado.</w:t>
      </w:r>
    </w:p>
    <w:p w:rsidR="004D2A76" w:rsidRDefault="00CF151B" w:rsidP="00313F3B">
      <w:pPr>
        <w:jc w:val="both"/>
        <w:rPr>
          <w:i/>
        </w:rPr>
      </w:pPr>
      <w:r>
        <w:rPr>
          <w:u w:val="single"/>
        </w:rPr>
        <w:t>Valor de liquidação:</w:t>
      </w:r>
      <w:r>
        <w:t xml:space="preserve"> é a quantia não descontada de caixa que se espera que seja paga para satisfazer os passivos. </w:t>
      </w:r>
      <w:r>
        <w:rPr>
          <w:i/>
        </w:rPr>
        <w:t>Valor não descontado.</w:t>
      </w:r>
    </w:p>
    <w:p w:rsidR="00CF151B" w:rsidRDefault="00CF151B" w:rsidP="00313F3B">
      <w:pPr>
        <w:jc w:val="both"/>
        <w:rPr>
          <w:i/>
        </w:rPr>
      </w:pPr>
      <w:r>
        <w:rPr>
          <w:u w:val="single"/>
        </w:rPr>
        <w:t>Valor presente:</w:t>
      </w:r>
      <w:r>
        <w:t xml:space="preserve"> registo do passivo pelo valor presente descontado dos fluxos líquidos de caixa que se espera que sejam necessários para liquidar esse passivo. </w:t>
      </w:r>
      <w:r>
        <w:rPr>
          <w:i/>
        </w:rPr>
        <w:t>Valor descontado.</w:t>
      </w:r>
    </w:p>
    <w:p w:rsidR="00CF151B" w:rsidRDefault="00CF151B" w:rsidP="00313F3B">
      <w:pPr>
        <w:jc w:val="both"/>
      </w:pPr>
      <w:r>
        <w:rPr>
          <w:u w:val="single"/>
        </w:rPr>
        <w:t>Justo valor:</w:t>
      </w:r>
      <w:r>
        <w:t xml:space="preserve"> é a quantia pela qual um passivo pode ser liquidado entre partes conhecedoras e dispostas a isso, numa transacção em que não existe relacionamento entre elas.</w:t>
      </w:r>
    </w:p>
    <w:p w:rsidR="00EA547C" w:rsidRDefault="00EA547C" w:rsidP="00313F3B">
      <w:pPr>
        <w:jc w:val="both"/>
      </w:pPr>
      <w:r w:rsidRPr="00EA547C">
        <w:rPr>
          <w:b/>
          <w:color w:val="99CC00"/>
        </w:rPr>
        <w:t>Activos biológicos:</w:t>
      </w:r>
      <w:r>
        <w:rPr>
          <w:b/>
          <w:color w:val="99CC00"/>
        </w:rPr>
        <w:t xml:space="preserve"> </w:t>
      </w:r>
      <w:r>
        <w:t>São plantas e animais vivos. O enquadramento contabilístico depende da actividade da empresa. Se a empresa exercer uma actividade agrícola, vão para a conta 37 – Activos Biológicos; se a empresa não exercer uma actividade agrícola, vão para a conta 43.6 – Equipamentos biológicos.</w:t>
      </w:r>
    </w:p>
    <w:p w:rsidR="00EA547C" w:rsidRDefault="00EA547C" w:rsidP="00313F3B">
      <w:pPr>
        <w:jc w:val="both"/>
      </w:pPr>
      <w:r>
        <w:rPr>
          <w:b/>
          <w:color w:val="99CC00"/>
        </w:rPr>
        <w:t xml:space="preserve">Propriedades de Investimentos: </w:t>
      </w:r>
      <w:r w:rsidRPr="00EA547C">
        <w:t>são terrenos ou edifícios</w:t>
      </w:r>
      <w:r>
        <w:t xml:space="preserve"> detidos para obter rendimentos ou para valorização do capital ou para ambas as finalidades, e não para uso na produção ou fornecimento de bens ou serviços ou para finalidades administrativas ou venda no curso ordinário no negócio.</w:t>
      </w:r>
    </w:p>
    <w:p w:rsidR="00B53D95" w:rsidRDefault="00B53D95" w:rsidP="00313F3B">
      <w:pPr>
        <w:jc w:val="both"/>
        <w:rPr>
          <w:b/>
          <w:color w:val="99CC00"/>
        </w:rPr>
      </w:pPr>
    </w:p>
    <w:p w:rsidR="004A1763" w:rsidRDefault="00EA547C" w:rsidP="00313F3B">
      <w:pPr>
        <w:jc w:val="both"/>
      </w:pPr>
      <w:r>
        <w:rPr>
          <w:b/>
          <w:color w:val="99CC00"/>
        </w:rPr>
        <w:lastRenderedPageBreak/>
        <w:t xml:space="preserve">Perdas por Imparidade: </w:t>
      </w:r>
      <w:r w:rsidRPr="00EA547C">
        <w:t>são</w:t>
      </w:r>
      <w:r>
        <w:t xml:space="preserve"> perdas potenciais de valor em activos, decorrentes de circunstâncias alheias ao seu uso ou utilização.</w:t>
      </w:r>
      <w:r w:rsidR="004A1763">
        <w:t xml:space="preserve"> No limite podem ocorrer em qualquer activo, embora existam activos em que não faz sentido falar em imparidades (ex. depósitos à ordem). Sendo potenciais, são susceptíveis de não concretização, dando origem, nestes casos, a uma reversão de imparidade.</w:t>
      </w:r>
    </w:p>
    <w:p w:rsidR="004A1763" w:rsidRDefault="002370E9" w:rsidP="00313F3B">
      <w:pPr>
        <w:jc w:val="both"/>
      </w:pPr>
      <w:r>
        <w:rPr>
          <w:noProof/>
          <w:lang w:eastAsia="pt-PT"/>
        </w:rPr>
        <w:pict>
          <v:shape id="_x0000_s1037" type="#_x0000_t32" style="position:absolute;left:0;text-align:left;margin-left:280.4pt;margin-top:13.9pt;width:12.9pt;height:7.45pt;flip:x y;z-index:251673600" o:connectortype="straight"/>
        </w:pict>
      </w:r>
      <w:r>
        <w:rPr>
          <w:noProof/>
          <w:lang w:eastAsia="pt-PT"/>
        </w:rPr>
        <w:pict>
          <v:shape id="_x0000_s1035" type="#_x0000_t32" style="position:absolute;left:0;text-align:left;margin-left:119.4pt;margin-top:13.9pt;width:7.45pt;height:6.15pt;flip:y;z-index:251672576" o:connectortype="straight"/>
        </w:pict>
      </w:r>
      <w:r>
        <w:rPr>
          <w:noProof/>
        </w:rPr>
        <w:pict>
          <v:shape id="_x0000_s1034" type="#_x0000_t202" style="position:absolute;left:0;text-align:left;margin-left:272.35pt;margin-top:21.35pt;width:97.7pt;height:39.05pt;z-index:251671552;mso-width-relative:margin;mso-height-relative:margin">
            <v:stroke dashstyle="dash"/>
            <v:textbox>
              <w:txbxContent>
                <w:p w:rsidR="004A1763" w:rsidRDefault="004A1763">
                  <w:r>
                    <w:t>Valor líquido do activo em questão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45.1pt;margin-top:20.05pt;width:116.95pt;height:54.6pt;z-index:251669504;mso-width-relative:margin;mso-height-relative:margin">
            <v:stroke dashstyle="dash"/>
            <v:textbox>
              <w:txbxContent>
                <w:p w:rsidR="004A1763" w:rsidRDefault="004A1763">
                  <w:r>
                    <w:t>Decorre do critério de mensuração aplicável ao activo em questão</w:t>
                  </w:r>
                </w:p>
              </w:txbxContent>
            </v:textbox>
          </v:shape>
        </w:pict>
      </w:r>
      <w:r w:rsidR="004A1763">
        <w:t>Perda por Imparidade = Quantia recuperável – Quantia escriturada</w:t>
      </w:r>
    </w:p>
    <w:p w:rsidR="004A1763" w:rsidRDefault="004A1763" w:rsidP="00313F3B">
      <w:pPr>
        <w:jc w:val="both"/>
      </w:pPr>
    </w:p>
    <w:p w:rsidR="004A1763" w:rsidRDefault="004A1763" w:rsidP="00313F3B">
      <w:pPr>
        <w:jc w:val="both"/>
      </w:pPr>
    </w:p>
    <w:p w:rsidR="0051674D" w:rsidRPr="0051674D" w:rsidRDefault="0051674D" w:rsidP="0051674D">
      <w:pPr>
        <w:spacing w:line="240" w:lineRule="auto"/>
        <w:jc w:val="both"/>
        <w:rPr>
          <w:sz w:val="4"/>
          <w:szCs w:val="4"/>
          <w:u w:val="single"/>
        </w:rPr>
      </w:pPr>
    </w:p>
    <w:p w:rsidR="0051674D" w:rsidRDefault="0051674D" w:rsidP="00F97991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Registo (método indirecto):</w:t>
      </w:r>
    </w:p>
    <w:tbl>
      <w:tblPr>
        <w:tblStyle w:val="ListaMdia2-Cor3"/>
        <w:tblW w:w="0" w:type="auto"/>
        <w:tblLook w:val="04A0"/>
      </w:tblPr>
      <w:tblGrid>
        <w:gridCol w:w="1526"/>
        <w:gridCol w:w="1559"/>
      </w:tblGrid>
      <w:tr w:rsidR="0051674D" w:rsidRPr="00F97991" w:rsidTr="00F97991">
        <w:trPr>
          <w:cnfStyle w:val="100000000000"/>
        </w:trPr>
        <w:tc>
          <w:tcPr>
            <w:cnfStyle w:val="001000000100"/>
            <w:tcW w:w="1526" w:type="dxa"/>
          </w:tcPr>
          <w:p w:rsidR="0051674D" w:rsidRPr="00F97991" w:rsidRDefault="0051674D" w:rsidP="0051674D">
            <w:pPr>
              <w:jc w:val="center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Débito</w:t>
            </w:r>
          </w:p>
        </w:tc>
        <w:tc>
          <w:tcPr>
            <w:tcW w:w="1559" w:type="dxa"/>
          </w:tcPr>
          <w:p w:rsidR="0051674D" w:rsidRPr="00F97991" w:rsidRDefault="002370E9" w:rsidP="0051674D">
            <w:pPr>
              <w:jc w:val="center"/>
              <w:cnfStyle w:val="100000000000"/>
              <w:rPr>
                <w:rFonts w:asciiTheme="minorHAnsi" w:hAnsiTheme="minorHAnsi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108.75pt;margin-top:12.85pt;width:288.3pt;height:48.85pt;z-index:251675648;mso-height-percent:200;mso-position-horizontal-relative:text;mso-position-vertical-relative:text;mso-height-percent:200;mso-width-relative:margin;mso-height-relative:margin" stroked="f">
                  <v:textbox style="mso-next-textbox:#_x0000_s1038;mso-fit-shape-to-text:t">
                    <w:txbxContent>
                      <w:p w:rsidR="0051674D" w:rsidRDefault="0051674D" w:rsidP="0051674D">
                        <w:pPr>
                          <w:jc w:val="both"/>
                          <w:cnfStyle w:val="100000000000"/>
                        </w:pPr>
                        <w:r>
                          <w:t>NOTA: As perdas por imparidade em inventários também se designam, no SNC, por ajustamentos de inventários.</w:t>
                        </w:r>
                      </w:p>
                    </w:txbxContent>
                  </v:textbox>
                </v:shape>
              </w:pict>
            </w:r>
            <w:r w:rsidR="0051674D" w:rsidRPr="00F97991">
              <w:rPr>
                <w:rFonts w:asciiTheme="minorHAnsi" w:hAnsiTheme="minorHAnsi"/>
              </w:rPr>
              <w:t>Crédito</w:t>
            </w:r>
          </w:p>
        </w:tc>
      </w:tr>
      <w:tr w:rsidR="0051674D" w:rsidRPr="00F97991" w:rsidTr="00F97991">
        <w:trPr>
          <w:cnfStyle w:val="000000100000"/>
        </w:trPr>
        <w:tc>
          <w:tcPr>
            <w:cnfStyle w:val="001000000000"/>
            <w:tcW w:w="1526" w:type="dxa"/>
          </w:tcPr>
          <w:p w:rsidR="0051674D" w:rsidRPr="00F97991" w:rsidRDefault="0051674D" w:rsidP="0051674D">
            <w:pPr>
              <w:jc w:val="center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65X</w:t>
            </w:r>
          </w:p>
        </w:tc>
        <w:tc>
          <w:tcPr>
            <w:tcW w:w="1559" w:type="dxa"/>
          </w:tcPr>
          <w:p w:rsidR="0051674D" w:rsidRPr="00F97991" w:rsidRDefault="0051674D" w:rsidP="0051674D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2X9, 3X9, 4X9</w:t>
            </w:r>
          </w:p>
        </w:tc>
      </w:tr>
    </w:tbl>
    <w:p w:rsidR="00A708F0" w:rsidRDefault="00A708F0" w:rsidP="00313F3B">
      <w:pPr>
        <w:jc w:val="both"/>
        <w:rPr>
          <w:color w:val="99CC00"/>
        </w:rPr>
      </w:pPr>
    </w:p>
    <w:p w:rsidR="00B53D95" w:rsidRDefault="00B53D95" w:rsidP="00313F3B">
      <w:pPr>
        <w:jc w:val="both"/>
        <w:rPr>
          <w:color w:val="99CC00"/>
        </w:rPr>
      </w:pPr>
    </w:p>
    <w:tbl>
      <w:tblPr>
        <w:tblStyle w:val="ListaMdia2-Cor3"/>
        <w:tblW w:w="0" w:type="auto"/>
        <w:jc w:val="center"/>
        <w:tblLook w:val="04A0"/>
      </w:tblPr>
      <w:tblGrid>
        <w:gridCol w:w="2488"/>
        <w:gridCol w:w="2881"/>
        <w:gridCol w:w="2882"/>
      </w:tblGrid>
      <w:tr w:rsidR="00B53D95" w:rsidRPr="00F97991" w:rsidTr="00B53D95">
        <w:trPr>
          <w:cnfStyle w:val="100000000000"/>
          <w:jc w:val="center"/>
        </w:trPr>
        <w:tc>
          <w:tcPr>
            <w:cnfStyle w:val="0010000001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  <w:b/>
                <w:color w:val="99CC00"/>
              </w:rPr>
            </w:pPr>
            <w:r w:rsidRPr="00F97991">
              <w:rPr>
                <w:rFonts w:asciiTheme="minorHAnsi" w:hAnsiTheme="minorHAnsi"/>
                <w:b/>
                <w:color w:val="99CC00"/>
              </w:rPr>
              <w:t>Activo</w:t>
            </w:r>
          </w:p>
        </w:tc>
        <w:tc>
          <w:tcPr>
            <w:tcW w:w="5763" w:type="dxa"/>
            <w:gridSpan w:val="2"/>
          </w:tcPr>
          <w:p w:rsidR="00B53D95" w:rsidRPr="00F97991" w:rsidRDefault="00B53D95" w:rsidP="00CC3D0D">
            <w:pPr>
              <w:jc w:val="center"/>
              <w:cnfStyle w:val="100000000000"/>
              <w:rPr>
                <w:rFonts w:asciiTheme="minorHAnsi" w:hAnsiTheme="minorHAnsi"/>
                <w:b/>
                <w:color w:val="99CC00"/>
              </w:rPr>
            </w:pPr>
            <w:r w:rsidRPr="00F97991">
              <w:rPr>
                <w:rFonts w:asciiTheme="minorHAnsi" w:hAnsiTheme="minorHAnsi"/>
                <w:b/>
                <w:color w:val="99CC00"/>
              </w:rPr>
              <w:t>Sujeito a Imparidade?</w:t>
            </w: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  <w:b/>
                <w:color w:val="auto"/>
              </w:rPr>
            </w:pPr>
            <w:r w:rsidRPr="00F97991">
              <w:rPr>
                <w:rFonts w:asciiTheme="minorHAnsi" w:hAnsiTheme="minorHAnsi"/>
                <w:b/>
                <w:color w:val="auto"/>
              </w:rPr>
              <w:t>SIM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  <w:b/>
                <w:color w:val="auto"/>
              </w:rPr>
            </w:pPr>
            <w:r w:rsidRPr="00F97991">
              <w:rPr>
                <w:rFonts w:asciiTheme="minorHAnsi" w:hAnsiTheme="minorHAnsi"/>
                <w:b/>
                <w:color w:val="auto"/>
              </w:rPr>
              <w:t>Não</w:t>
            </w: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11 Caixa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 xml:space="preserve">12 </w:t>
            </w:r>
            <w:proofErr w:type="spellStart"/>
            <w:r w:rsidRPr="00F97991">
              <w:rPr>
                <w:rFonts w:asciiTheme="minorHAnsi" w:hAnsiTheme="minorHAnsi"/>
              </w:rPr>
              <w:t>Dep</w:t>
            </w:r>
            <w:proofErr w:type="spellEnd"/>
            <w:r w:rsidRPr="00F97991">
              <w:rPr>
                <w:rFonts w:asciiTheme="minorHAnsi" w:hAnsiTheme="minorHAnsi"/>
              </w:rPr>
              <w:t xml:space="preserve"> à ordem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 xml:space="preserve">13 Outros </w:t>
            </w:r>
            <w:proofErr w:type="spellStart"/>
            <w:r w:rsidRPr="00F97991">
              <w:rPr>
                <w:rFonts w:asciiTheme="minorHAnsi" w:hAnsiTheme="minorHAnsi"/>
              </w:rPr>
              <w:t>Dep</w:t>
            </w:r>
            <w:proofErr w:type="spellEnd"/>
            <w:r w:rsidRPr="00F97991">
              <w:rPr>
                <w:rFonts w:asciiTheme="minorHAnsi" w:hAnsiTheme="minorHAnsi"/>
              </w:rPr>
              <w:t>. B.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 xml:space="preserve">14 Outros </w:t>
            </w:r>
            <w:proofErr w:type="spellStart"/>
            <w:r w:rsidRPr="00F97991">
              <w:rPr>
                <w:rFonts w:asciiTheme="minorHAnsi" w:hAnsiTheme="minorHAnsi"/>
              </w:rPr>
              <w:t>Ins</w:t>
            </w:r>
            <w:proofErr w:type="spellEnd"/>
            <w:r w:rsidRPr="00F97991">
              <w:rPr>
                <w:rFonts w:asciiTheme="minorHAnsi" w:hAnsiTheme="minorHAnsi"/>
              </w:rPr>
              <w:t xml:space="preserve">. </w:t>
            </w:r>
            <w:proofErr w:type="spellStart"/>
            <w:r w:rsidRPr="00F97991">
              <w:rPr>
                <w:rFonts w:asciiTheme="minorHAnsi" w:hAnsiTheme="minorHAnsi"/>
              </w:rPr>
              <w:t>Fin</w:t>
            </w:r>
            <w:proofErr w:type="spellEnd"/>
            <w:r w:rsidRPr="00F97991">
              <w:rPr>
                <w:rFonts w:asciiTheme="minorHAnsi" w:hAnsiTheme="minorHAnsi"/>
              </w:rPr>
              <w:t>.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21 Clientes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  <w:color w:val="auto"/>
              </w:rPr>
            </w:pP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22 Fornecedores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23 Pessoal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  <w:color w:val="auto"/>
              </w:rPr>
            </w:pP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24 EOEP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26 Accionistas/Sócios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  <w:color w:val="auto"/>
              </w:rPr>
            </w:pP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 xml:space="preserve">27 Outras </w:t>
            </w:r>
            <w:proofErr w:type="spellStart"/>
            <w:r w:rsidRPr="00F97991">
              <w:rPr>
                <w:rFonts w:asciiTheme="minorHAnsi" w:hAnsiTheme="minorHAnsi"/>
                <w:color w:val="auto"/>
              </w:rPr>
              <w:t>Div</w:t>
            </w:r>
            <w:proofErr w:type="spellEnd"/>
            <w:r w:rsidRPr="00F97991">
              <w:rPr>
                <w:rFonts w:asciiTheme="minorHAnsi" w:hAnsiTheme="minorHAnsi"/>
                <w:color w:val="auto"/>
              </w:rPr>
              <w:t xml:space="preserve">. </w:t>
            </w:r>
            <w:proofErr w:type="gramStart"/>
            <w:r w:rsidRPr="00F97991">
              <w:rPr>
                <w:rFonts w:asciiTheme="minorHAnsi" w:hAnsiTheme="minorHAnsi"/>
                <w:color w:val="auto"/>
              </w:rPr>
              <w:t>a</w:t>
            </w:r>
            <w:proofErr w:type="gramEnd"/>
            <w:r w:rsidRPr="00F97991">
              <w:rPr>
                <w:rFonts w:asciiTheme="minorHAnsi" w:hAnsiTheme="minorHAnsi"/>
                <w:color w:val="auto"/>
              </w:rPr>
              <w:t xml:space="preserve"> receber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  <w:color w:val="auto"/>
              </w:rPr>
            </w:pP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32 Mercadorias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  <w:color w:val="auto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  <w:color w:val="auto"/>
              </w:rPr>
            </w:pP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33 MP, MS e MC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34 PA e Intermédios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35 Subprodutos…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 xml:space="preserve">41 </w:t>
            </w:r>
            <w:proofErr w:type="spellStart"/>
            <w:r w:rsidRPr="00F97991">
              <w:rPr>
                <w:rFonts w:asciiTheme="minorHAnsi" w:hAnsiTheme="minorHAnsi"/>
              </w:rPr>
              <w:t>Inv</w:t>
            </w:r>
            <w:proofErr w:type="spellEnd"/>
            <w:r w:rsidRPr="00F97991">
              <w:rPr>
                <w:rFonts w:asciiTheme="minorHAnsi" w:hAnsiTheme="minorHAnsi"/>
              </w:rPr>
              <w:t xml:space="preserve">. </w:t>
            </w:r>
            <w:proofErr w:type="spellStart"/>
            <w:r w:rsidRPr="00F97991">
              <w:rPr>
                <w:rFonts w:asciiTheme="minorHAnsi" w:hAnsiTheme="minorHAnsi"/>
              </w:rPr>
              <w:t>Fin</w:t>
            </w:r>
            <w:proofErr w:type="spellEnd"/>
            <w:r w:rsidRPr="00F97991">
              <w:rPr>
                <w:rFonts w:asciiTheme="minorHAnsi" w:hAnsiTheme="minorHAnsi"/>
              </w:rPr>
              <w:t>.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 xml:space="preserve">42 </w:t>
            </w:r>
            <w:proofErr w:type="spellStart"/>
            <w:r w:rsidRPr="00F97991">
              <w:rPr>
                <w:rFonts w:asciiTheme="minorHAnsi" w:hAnsiTheme="minorHAnsi"/>
              </w:rPr>
              <w:t>Prop</w:t>
            </w:r>
            <w:proofErr w:type="spellEnd"/>
            <w:r w:rsidRPr="00F97991">
              <w:rPr>
                <w:rFonts w:asciiTheme="minorHAnsi" w:hAnsiTheme="minorHAnsi"/>
              </w:rPr>
              <w:t xml:space="preserve">. </w:t>
            </w:r>
            <w:proofErr w:type="spellStart"/>
            <w:r w:rsidRPr="00F97991">
              <w:rPr>
                <w:rFonts w:asciiTheme="minorHAnsi" w:hAnsiTheme="minorHAnsi"/>
              </w:rPr>
              <w:t>Inv</w:t>
            </w:r>
            <w:proofErr w:type="spellEnd"/>
            <w:r w:rsidRPr="00F97991">
              <w:rPr>
                <w:rFonts w:asciiTheme="minorHAnsi" w:hAnsiTheme="minorHAnsi"/>
              </w:rPr>
              <w:t>.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 xml:space="preserve">43 Activos Fixos </w:t>
            </w:r>
            <w:proofErr w:type="spellStart"/>
            <w:r w:rsidRPr="00F97991">
              <w:rPr>
                <w:rFonts w:asciiTheme="minorHAnsi" w:hAnsiTheme="minorHAnsi"/>
              </w:rPr>
              <w:t>Tang</w:t>
            </w:r>
            <w:proofErr w:type="spellEnd"/>
            <w:r w:rsidRPr="00F97991">
              <w:rPr>
                <w:rFonts w:asciiTheme="minorHAnsi" w:hAnsiTheme="minorHAnsi"/>
              </w:rPr>
              <w:t>.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44 Activos Intangíveis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</w:tr>
      <w:tr w:rsidR="00B53D95" w:rsidRPr="00F97991" w:rsidTr="00B53D95">
        <w:trPr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 xml:space="preserve">45 </w:t>
            </w:r>
            <w:proofErr w:type="spellStart"/>
            <w:r w:rsidRPr="00F97991">
              <w:rPr>
                <w:rFonts w:asciiTheme="minorHAnsi" w:hAnsiTheme="minorHAnsi"/>
              </w:rPr>
              <w:t>Inv</w:t>
            </w:r>
            <w:proofErr w:type="spellEnd"/>
            <w:r w:rsidRPr="00F97991">
              <w:rPr>
                <w:rFonts w:asciiTheme="minorHAnsi" w:hAnsiTheme="minorHAnsi"/>
              </w:rPr>
              <w:t xml:space="preserve">. </w:t>
            </w:r>
            <w:proofErr w:type="gramStart"/>
            <w:r w:rsidRPr="00F97991">
              <w:rPr>
                <w:rFonts w:asciiTheme="minorHAnsi" w:hAnsiTheme="minorHAnsi"/>
              </w:rPr>
              <w:t>em</w:t>
            </w:r>
            <w:proofErr w:type="gramEnd"/>
            <w:r w:rsidRPr="00F97991">
              <w:rPr>
                <w:rFonts w:asciiTheme="minorHAnsi" w:hAnsiTheme="minorHAnsi"/>
              </w:rPr>
              <w:t xml:space="preserve"> curso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000000"/>
              <w:rPr>
                <w:rFonts w:asciiTheme="minorHAnsi" w:hAnsiTheme="minorHAnsi"/>
              </w:rPr>
            </w:pPr>
          </w:p>
        </w:tc>
      </w:tr>
      <w:tr w:rsidR="00B53D95" w:rsidRPr="00F97991" w:rsidTr="00B53D95">
        <w:trPr>
          <w:cnfStyle w:val="000000100000"/>
          <w:jc w:val="center"/>
        </w:trPr>
        <w:tc>
          <w:tcPr>
            <w:cnfStyle w:val="001000000000"/>
            <w:tcW w:w="2488" w:type="dxa"/>
          </w:tcPr>
          <w:p w:rsidR="00B53D95" w:rsidRPr="00F97991" w:rsidRDefault="00B53D95" w:rsidP="00CC3D0D">
            <w:pPr>
              <w:jc w:val="both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</w:rPr>
              <w:t>46 ANCDPV</w:t>
            </w:r>
          </w:p>
        </w:tc>
        <w:tc>
          <w:tcPr>
            <w:tcW w:w="2881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F97991">
              <w:rPr>
                <w:rFonts w:asciiTheme="minorHAnsi" w:hAnsiTheme="minorHAnsi"/>
                <w:color w:val="auto"/>
              </w:rPr>
              <w:t>X</w:t>
            </w:r>
          </w:p>
        </w:tc>
        <w:tc>
          <w:tcPr>
            <w:tcW w:w="2882" w:type="dxa"/>
          </w:tcPr>
          <w:p w:rsidR="00B53D95" w:rsidRPr="00F97991" w:rsidRDefault="00B53D95" w:rsidP="00CC3D0D">
            <w:pPr>
              <w:jc w:val="center"/>
              <w:cnfStyle w:val="000000100000"/>
              <w:rPr>
                <w:rFonts w:asciiTheme="minorHAnsi" w:hAnsiTheme="minorHAnsi"/>
              </w:rPr>
            </w:pPr>
          </w:p>
        </w:tc>
      </w:tr>
    </w:tbl>
    <w:p w:rsidR="00B53D95" w:rsidRPr="00E56DCD" w:rsidRDefault="00B53D95" w:rsidP="00313F3B">
      <w:pPr>
        <w:jc w:val="both"/>
        <w:rPr>
          <w:color w:val="99CC00"/>
        </w:rPr>
      </w:pPr>
    </w:p>
    <w:p w:rsidR="00B53D95" w:rsidRDefault="00B53D95" w:rsidP="00313F3B">
      <w:pPr>
        <w:jc w:val="both"/>
        <w:rPr>
          <w:b/>
          <w:color w:val="99CC00"/>
        </w:rPr>
      </w:pPr>
    </w:p>
    <w:p w:rsidR="00B53D95" w:rsidRDefault="00B53D95" w:rsidP="00313F3B">
      <w:pPr>
        <w:jc w:val="both"/>
        <w:rPr>
          <w:b/>
          <w:color w:val="99CC00"/>
        </w:rPr>
      </w:pPr>
    </w:p>
    <w:p w:rsidR="00B53D95" w:rsidRDefault="00B53D95" w:rsidP="00313F3B">
      <w:pPr>
        <w:jc w:val="both"/>
        <w:rPr>
          <w:b/>
          <w:color w:val="99CC00"/>
        </w:rPr>
      </w:pPr>
    </w:p>
    <w:p w:rsidR="00B53D95" w:rsidRDefault="00B53D95" w:rsidP="00313F3B">
      <w:pPr>
        <w:jc w:val="both"/>
        <w:rPr>
          <w:b/>
          <w:color w:val="99CC00"/>
        </w:rPr>
      </w:pPr>
    </w:p>
    <w:p w:rsidR="0051674D" w:rsidRDefault="0051674D" w:rsidP="00313F3B">
      <w:pPr>
        <w:jc w:val="both"/>
        <w:rPr>
          <w:b/>
          <w:color w:val="99CC00"/>
        </w:rPr>
      </w:pPr>
      <w:r>
        <w:rPr>
          <w:b/>
          <w:color w:val="99CC00"/>
        </w:rPr>
        <w:lastRenderedPageBreak/>
        <w:t>Ajustamentos:</w:t>
      </w:r>
    </w:p>
    <w:p w:rsidR="0051674D" w:rsidRDefault="0051674D" w:rsidP="00313F3B">
      <w:pPr>
        <w:jc w:val="both"/>
      </w:pPr>
      <w:r>
        <w:rPr>
          <w:u w:val="single"/>
        </w:rPr>
        <w:t>Ajustamentos em inventários:</w:t>
      </w:r>
      <w:r>
        <w:t xml:space="preserve"> são perdas de valor (potenciais) em inventários. </w:t>
      </w:r>
      <w:proofErr w:type="gramStart"/>
      <w:r>
        <w:t>São sinónimo</w:t>
      </w:r>
      <w:proofErr w:type="gramEnd"/>
      <w:r>
        <w:t xml:space="preserve"> de imparidades em inventários.</w:t>
      </w:r>
    </w:p>
    <w:p w:rsidR="0051674D" w:rsidRDefault="0051674D" w:rsidP="0051674D">
      <w:pPr>
        <w:spacing w:after="0"/>
        <w:jc w:val="both"/>
      </w:pPr>
      <w:r>
        <w:rPr>
          <w:u w:val="single"/>
        </w:rPr>
        <w:t>Ajustamentos em activos financeiros:</w:t>
      </w:r>
      <w:r>
        <w:t xml:space="preserve"> é ligeiramente diferente do conceito de ajustamentos nos inventários porque:</w:t>
      </w:r>
    </w:p>
    <w:p w:rsidR="0051674D" w:rsidRDefault="0051674D" w:rsidP="0051674D">
      <w:pPr>
        <w:spacing w:after="0"/>
        <w:jc w:val="both"/>
      </w:pPr>
      <w:r>
        <w:t xml:space="preserve">- </w:t>
      </w:r>
      <w:proofErr w:type="gramStart"/>
      <w:r>
        <w:t>é</w:t>
      </w:r>
      <w:proofErr w:type="gramEnd"/>
      <w:r>
        <w:t xml:space="preserve"> mais amplo (pode ser perda ou ganho)</w:t>
      </w:r>
    </w:p>
    <w:p w:rsidR="0051674D" w:rsidRDefault="0051674D" w:rsidP="0051674D">
      <w:pPr>
        <w:spacing w:after="0"/>
        <w:jc w:val="both"/>
      </w:pPr>
      <w:r>
        <w:t xml:space="preserve">- </w:t>
      </w:r>
      <w:proofErr w:type="gramStart"/>
      <w:r>
        <w:t>é</w:t>
      </w:r>
      <w:proofErr w:type="gramEnd"/>
      <w:r>
        <w:t xml:space="preserve"> registado pelo método directo</w:t>
      </w:r>
    </w:p>
    <w:p w:rsidR="00F97991" w:rsidRPr="0051674D" w:rsidRDefault="0051674D" w:rsidP="00F97991">
      <w:pPr>
        <w:jc w:val="both"/>
      </w:pPr>
      <w:r>
        <w:t xml:space="preserve">- </w:t>
      </w:r>
      <w:proofErr w:type="gramStart"/>
      <w:r>
        <w:t>é</w:t>
      </w:r>
      <w:proofErr w:type="gramEnd"/>
      <w:r>
        <w:t xml:space="preserve"> reconhecido directamente no CP, não passando pela DR</w:t>
      </w:r>
    </w:p>
    <w:p w:rsidR="00F97991" w:rsidRPr="00F97991" w:rsidRDefault="00F97991" w:rsidP="000E0193">
      <w:pPr>
        <w:jc w:val="both"/>
      </w:pPr>
      <w:r w:rsidRPr="00F97991">
        <w:rPr>
          <w:u w:val="single"/>
        </w:rPr>
        <w:t>Activos sujeitos:</w:t>
      </w:r>
      <w:r>
        <w:t xml:space="preserve"> Inventários e participações de capital mensuradas pelo MEP (parte dos activos financeiros).</w:t>
      </w:r>
    </w:p>
    <w:p w:rsidR="00F97991" w:rsidRDefault="000E0193" w:rsidP="000E0193">
      <w:pPr>
        <w:jc w:val="both"/>
      </w:pPr>
      <w:r>
        <w:rPr>
          <w:b/>
          <w:color w:val="99CC00"/>
        </w:rPr>
        <w:t>Reversões:</w:t>
      </w:r>
      <w:r>
        <w:rPr>
          <w:color w:val="99CC00"/>
        </w:rPr>
        <w:t xml:space="preserve"> </w:t>
      </w:r>
      <w:r w:rsidRPr="000E0193">
        <w:t>são</w:t>
      </w:r>
      <w:r>
        <w:t xml:space="preserve"> uma redução, total ou parcial, de uma perda de valor (real ou potencial) anteriormente registada como gasto. Existem reversões “de depreciações e de amortizações”, “de perdas por imparidade (incluindo de ajustamentos de </w:t>
      </w:r>
      <w:proofErr w:type="gramStart"/>
      <w:r>
        <w:t>inventários)</w:t>
      </w:r>
      <w:proofErr w:type="gramEnd"/>
      <w:r>
        <w:t>” e “de provisões”.</w:t>
      </w:r>
    </w:p>
    <w:p w:rsidR="000E0193" w:rsidRDefault="000E0193" w:rsidP="000E0193">
      <w:pPr>
        <w:jc w:val="both"/>
        <w:rPr>
          <w:u w:val="single"/>
        </w:rPr>
      </w:pPr>
      <w:r w:rsidRPr="000E0193">
        <w:rPr>
          <w:u w:val="single"/>
        </w:rPr>
        <w:t>Registo:</w:t>
      </w:r>
    </w:p>
    <w:tbl>
      <w:tblPr>
        <w:tblStyle w:val="SombreadoClaro-Cor3"/>
        <w:tblW w:w="0" w:type="auto"/>
        <w:tblLook w:val="04A0"/>
      </w:tblPr>
      <w:tblGrid>
        <w:gridCol w:w="1526"/>
        <w:gridCol w:w="1559"/>
      </w:tblGrid>
      <w:tr w:rsidR="000E0193" w:rsidTr="00CC3D0D">
        <w:trPr>
          <w:cnfStyle w:val="100000000000"/>
        </w:trPr>
        <w:tc>
          <w:tcPr>
            <w:cnfStyle w:val="001000000000"/>
            <w:tcW w:w="1526" w:type="dxa"/>
          </w:tcPr>
          <w:p w:rsidR="000E0193" w:rsidRDefault="000E0193" w:rsidP="00CC3D0D">
            <w:pPr>
              <w:jc w:val="center"/>
            </w:pPr>
            <w:r>
              <w:t>Débito</w:t>
            </w:r>
          </w:p>
        </w:tc>
        <w:tc>
          <w:tcPr>
            <w:tcW w:w="1559" w:type="dxa"/>
          </w:tcPr>
          <w:p w:rsidR="000E0193" w:rsidRDefault="000E0193" w:rsidP="00CC3D0D">
            <w:pPr>
              <w:jc w:val="center"/>
              <w:cnfStyle w:val="100000000000"/>
            </w:pPr>
            <w:r>
              <w:t>Crédito</w:t>
            </w:r>
          </w:p>
        </w:tc>
      </w:tr>
      <w:tr w:rsidR="000E0193" w:rsidTr="00CC3D0D">
        <w:trPr>
          <w:cnfStyle w:val="000000100000"/>
        </w:trPr>
        <w:tc>
          <w:tcPr>
            <w:cnfStyle w:val="001000000000"/>
            <w:tcW w:w="1526" w:type="dxa"/>
          </w:tcPr>
          <w:p w:rsidR="000E0193" w:rsidRPr="0051674D" w:rsidRDefault="000E0193" w:rsidP="00CC3D0D">
            <w:pPr>
              <w:jc w:val="center"/>
              <w:rPr>
                <w:b w:val="0"/>
              </w:rPr>
            </w:pPr>
            <w:r>
              <w:rPr>
                <w:b w:val="0"/>
              </w:rPr>
              <w:t>Activo</w:t>
            </w:r>
          </w:p>
        </w:tc>
        <w:tc>
          <w:tcPr>
            <w:tcW w:w="1559" w:type="dxa"/>
          </w:tcPr>
          <w:p w:rsidR="000E0193" w:rsidRPr="0051674D" w:rsidRDefault="000E0193" w:rsidP="00CC3D0D">
            <w:pPr>
              <w:jc w:val="center"/>
              <w:cnfStyle w:val="000000100000"/>
            </w:pPr>
            <w:r>
              <w:t>76X</w:t>
            </w:r>
          </w:p>
        </w:tc>
      </w:tr>
    </w:tbl>
    <w:p w:rsidR="000E0193" w:rsidRDefault="000E0193" w:rsidP="000E0193">
      <w:pPr>
        <w:jc w:val="both"/>
        <w:rPr>
          <w:color w:val="99CC00"/>
        </w:rPr>
      </w:pPr>
    </w:p>
    <w:p w:rsidR="00B53D95" w:rsidRDefault="00B53D95" w:rsidP="000E0193">
      <w:pPr>
        <w:jc w:val="both"/>
        <w:rPr>
          <w:b/>
          <w:color w:val="99CC00"/>
        </w:rPr>
      </w:pPr>
    </w:p>
    <w:p w:rsidR="000E0193" w:rsidRDefault="002370E9" w:rsidP="000E0193">
      <w:pPr>
        <w:jc w:val="both"/>
        <w:rPr>
          <w:b/>
          <w:color w:val="99CC00"/>
        </w:rPr>
      </w:pPr>
      <w:r>
        <w:rPr>
          <w:b/>
          <w:noProof/>
          <w:color w:val="99CC00"/>
          <w:lang w:eastAsia="pt-PT"/>
        </w:rPr>
        <w:pict>
          <v:shape id="_x0000_s1044" type="#_x0000_t32" style="position:absolute;left:0;text-align:left;margin-left:152.45pt;margin-top:13.65pt;width:24.7pt;height:15.95pt;z-index:251680768" o:connectortype="straight">
            <v:stroke endarrow="block"/>
          </v:shape>
        </w:pict>
      </w:r>
      <w:r>
        <w:rPr>
          <w:b/>
          <w:noProof/>
          <w:color w:val="99CC00"/>
          <w:lang w:eastAsia="pt-PT"/>
        </w:rPr>
        <w:pict>
          <v:shape id="_x0000_s1043" type="#_x0000_t32" style="position:absolute;left:0;text-align:left;margin-left:23.65pt;margin-top:13.65pt;width:0;height:15.95pt;z-index:251679744" o:connectortype="straight">
            <v:stroke endarrow="block"/>
          </v:shape>
        </w:pict>
      </w:r>
      <w:proofErr w:type="gramStart"/>
      <w:r w:rsidR="000E0193" w:rsidRPr="000E0193">
        <w:rPr>
          <w:b/>
          <w:color w:val="99CC00"/>
        </w:rPr>
        <w:t xml:space="preserve">Depreciação </w:t>
      </w:r>
      <w:r w:rsidR="00A708F0">
        <w:rPr>
          <w:b/>
          <w:color w:val="99CC00"/>
        </w:rPr>
        <w:t xml:space="preserve">      </w:t>
      </w:r>
      <w:r w:rsidR="000E0193" w:rsidRPr="000E0193">
        <w:rPr>
          <w:b/>
          <w:color w:val="99CC00"/>
        </w:rPr>
        <w:t>VS</w:t>
      </w:r>
      <w:proofErr w:type="gramEnd"/>
      <w:r w:rsidR="000E0193" w:rsidRPr="000E0193">
        <w:rPr>
          <w:b/>
          <w:color w:val="99CC00"/>
        </w:rPr>
        <w:t xml:space="preserve"> </w:t>
      </w:r>
      <w:r w:rsidR="00A708F0">
        <w:rPr>
          <w:b/>
          <w:color w:val="99CC00"/>
        </w:rPr>
        <w:t xml:space="preserve">      </w:t>
      </w:r>
      <w:r w:rsidR="000E0193" w:rsidRPr="000E0193">
        <w:rPr>
          <w:b/>
          <w:color w:val="99CC00"/>
        </w:rPr>
        <w:t>Amortização</w:t>
      </w:r>
    </w:p>
    <w:p w:rsidR="00A708F0" w:rsidRDefault="002370E9" w:rsidP="000E0193">
      <w:pPr>
        <w:jc w:val="both"/>
        <w:rPr>
          <w:b/>
          <w:color w:val="99CC00"/>
        </w:rPr>
      </w:pPr>
      <w:r>
        <w:rPr>
          <w:b/>
          <w:noProof/>
          <w:color w:val="99CC00"/>
        </w:rPr>
        <w:pict>
          <v:shape id="_x0000_s1041" type="#_x0000_t202" style="position:absolute;left:0;text-align:left;margin-left:-7pt;margin-top:1.95pt;width:159.45pt;height:39.45pt;z-index:251677696;mso-width-relative:margin;mso-height-relative:margin" stroked="f">
            <v:stroke dashstyle="dash"/>
            <v:textbox>
              <w:txbxContent>
                <w:p w:rsidR="000E0193" w:rsidRDefault="000E0193" w:rsidP="000E0193">
                  <w:pPr>
                    <w:spacing w:after="0"/>
                  </w:pPr>
                  <w:r>
                    <w:t>- Activos fixos tangíveis</w:t>
                  </w:r>
                </w:p>
                <w:p w:rsidR="000E0193" w:rsidRDefault="000E0193" w:rsidP="000E0193">
                  <w:r>
                    <w:t>- Propriedades de Investimento</w:t>
                  </w:r>
                </w:p>
              </w:txbxContent>
            </v:textbox>
          </v:shape>
        </w:pict>
      </w:r>
      <w:r>
        <w:rPr>
          <w:b/>
          <w:noProof/>
          <w:color w:val="99CC00"/>
          <w:lang w:eastAsia="pt-PT"/>
        </w:rPr>
        <w:pict>
          <v:shape id="_x0000_s1042" type="#_x0000_t202" style="position:absolute;left:0;text-align:left;margin-left:159.2pt;margin-top:4.6pt;width:159.45pt;height:31.9pt;z-index:251678720;mso-width-relative:margin;mso-height-relative:margin" stroked="f">
            <v:stroke dashstyle="dash"/>
            <v:textbox>
              <w:txbxContent>
                <w:p w:rsidR="000E0193" w:rsidRDefault="000E0193" w:rsidP="000E0193">
                  <w:pPr>
                    <w:spacing w:after="0"/>
                  </w:pPr>
                  <w:r>
                    <w:t>- Activos intangíveis</w:t>
                  </w:r>
                </w:p>
              </w:txbxContent>
            </v:textbox>
          </v:shape>
        </w:pict>
      </w:r>
    </w:p>
    <w:p w:rsidR="00A708F0" w:rsidRDefault="00A708F0" w:rsidP="000E0193">
      <w:pPr>
        <w:jc w:val="both"/>
        <w:rPr>
          <w:b/>
          <w:color w:val="99CC00"/>
        </w:rPr>
      </w:pPr>
    </w:p>
    <w:p w:rsidR="000E0193" w:rsidRDefault="00A708F0" w:rsidP="000E0193">
      <w:pPr>
        <w:jc w:val="both"/>
      </w:pPr>
      <w:r w:rsidRPr="00A708F0">
        <w:rPr>
          <w:b/>
        </w:rPr>
        <w:t>NOTA:</w:t>
      </w:r>
      <w:r>
        <w:rPr>
          <w:b/>
        </w:rPr>
        <w:t xml:space="preserve"> </w:t>
      </w:r>
      <w:r>
        <w:t>Os Investimentos financeiros, os activos não correntes detidos para venda e os investimentos em curso, não estão sujeitos a depreciação/amortização, mas estão sujeitos a perdas por imparidade.</w:t>
      </w:r>
    </w:p>
    <w:p w:rsidR="00A708F0" w:rsidRDefault="00A708F0" w:rsidP="000E0193">
      <w:pPr>
        <w:jc w:val="both"/>
        <w:rPr>
          <w:b/>
          <w:color w:val="99CC00"/>
        </w:rPr>
      </w:pPr>
    </w:p>
    <w:p w:rsidR="00F97991" w:rsidRDefault="00F97991" w:rsidP="000E0193">
      <w:pPr>
        <w:jc w:val="both"/>
        <w:rPr>
          <w:b/>
          <w:color w:val="99CC00"/>
        </w:rPr>
      </w:pPr>
    </w:p>
    <w:p w:rsidR="0040027A" w:rsidRDefault="0040027A" w:rsidP="000E0193">
      <w:pPr>
        <w:jc w:val="both"/>
        <w:rPr>
          <w:b/>
          <w:color w:val="99CC00"/>
        </w:rPr>
      </w:pPr>
    </w:p>
    <w:p w:rsidR="0040027A" w:rsidRDefault="0040027A" w:rsidP="000E0193">
      <w:pPr>
        <w:jc w:val="both"/>
        <w:rPr>
          <w:b/>
          <w:color w:val="99CC00"/>
        </w:rPr>
      </w:pPr>
    </w:p>
    <w:p w:rsidR="0040027A" w:rsidRDefault="0040027A" w:rsidP="000E0193">
      <w:pPr>
        <w:jc w:val="both"/>
        <w:rPr>
          <w:b/>
          <w:color w:val="99CC00"/>
        </w:rPr>
      </w:pPr>
    </w:p>
    <w:p w:rsidR="0040027A" w:rsidRDefault="0040027A" w:rsidP="000E0193">
      <w:pPr>
        <w:jc w:val="both"/>
        <w:rPr>
          <w:b/>
          <w:color w:val="99CC00"/>
        </w:rPr>
      </w:pPr>
    </w:p>
    <w:p w:rsidR="0040027A" w:rsidRDefault="0040027A" w:rsidP="000E0193">
      <w:pPr>
        <w:jc w:val="both"/>
        <w:rPr>
          <w:b/>
          <w:color w:val="99CC00"/>
        </w:rPr>
      </w:pPr>
    </w:p>
    <w:p w:rsidR="0040027A" w:rsidRDefault="0040027A" w:rsidP="000E0193">
      <w:pPr>
        <w:jc w:val="both"/>
        <w:rPr>
          <w:b/>
          <w:color w:val="99CC00"/>
        </w:rPr>
      </w:pPr>
    </w:p>
    <w:p w:rsidR="0040027A" w:rsidRDefault="0040027A" w:rsidP="0040027A">
      <w:pPr>
        <w:jc w:val="center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lastRenderedPageBreak/>
        <w:t>Cap. 1: SNC – Demonstrações Financeiras e Código de Contas</w:t>
      </w:r>
    </w:p>
    <w:p w:rsidR="0040027A" w:rsidRDefault="00514FA0" w:rsidP="0040027A">
      <w:pPr>
        <w:jc w:val="both"/>
      </w:pPr>
      <w:r w:rsidRPr="009D4AA1">
        <w:rPr>
          <w:b/>
        </w:rPr>
        <w:t>CMV</w:t>
      </w:r>
      <w:r w:rsidRPr="00514FA0">
        <w:t xml:space="preserve"> = </w:t>
      </w:r>
      <w:proofErr w:type="spellStart"/>
      <w:r w:rsidRPr="00514FA0">
        <w:t>Ii</w:t>
      </w:r>
      <w:proofErr w:type="spellEnd"/>
      <w:r w:rsidRPr="00514FA0">
        <w:t xml:space="preserve"> + CL – </w:t>
      </w:r>
      <w:proofErr w:type="spellStart"/>
      <w:r w:rsidRPr="00514FA0">
        <w:t>If</w:t>
      </w:r>
      <w:proofErr w:type="spellEnd"/>
      <w:r w:rsidRPr="00514FA0">
        <w:t xml:space="preserve"> +/- RRI</w:t>
      </w:r>
    </w:p>
    <w:p w:rsidR="00557377" w:rsidRDefault="00557377" w:rsidP="0040027A">
      <w:pPr>
        <w:jc w:val="both"/>
      </w:pPr>
      <w:r w:rsidRPr="00573ED0">
        <w:rPr>
          <w:b/>
          <w:noProof/>
          <w:color w:val="99CC00"/>
          <w:lang w:eastAsia="pt-PT"/>
        </w:rPr>
        <w:t>Depreciações Acumuladas constantes do Balanço:</w:t>
      </w:r>
      <w:r>
        <w:rPr>
          <w:b/>
        </w:rPr>
        <w:t xml:space="preserve"> </w:t>
      </w:r>
      <w:r>
        <w:t>os activos são apresentados no Balanço pelos valores líquido.</w:t>
      </w:r>
    </w:p>
    <w:p w:rsidR="00557377" w:rsidRDefault="00557377" w:rsidP="0040027A">
      <w:pPr>
        <w:jc w:val="both"/>
      </w:pPr>
      <w:r w:rsidRPr="00573ED0">
        <w:rPr>
          <w:b/>
          <w:noProof/>
          <w:color w:val="99CC00"/>
          <w:lang w:eastAsia="pt-PT"/>
        </w:rPr>
        <w:t>Capital Realizado</w:t>
      </w:r>
      <w:r w:rsidRPr="00573ED0">
        <w:rPr>
          <w:noProof/>
          <w:lang w:eastAsia="pt-PT"/>
        </w:rPr>
        <w:t>: o valor do Capital a constar no Balanço é apenas o Capital realizado; caso</w:t>
      </w:r>
      <w:r>
        <w:t xml:space="preserve"> exista capital não realizado </w:t>
      </w:r>
      <w:r w:rsidR="00394DBB">
        <w:t>deve deduzir-se ao capital estatuário.</w:t>
      </w:r>
    </w:p>
    <w:p w:rsidR="00394DBB" w:rsidRDefault="00573ED0" w:rsidP="0040027A">
      <w:pPr>
        <w:jc w:val="both"/>
      </w:pPr>
      <w:proofErr w:type="spellStart"/>
      <w:r w:rsidRPr="00573ED0">
        <w:rPr>
          <w:b/>
          <w:color w:val="92D050"/>
        </w:rPr>
        <w:t>Goodwil</w:t>
      </w:r>
      <w:proofErr w:type="spellEnd"/>
      <w:r w:rsidRPr="00573ED0">
        <w:rPr>
          <w:b/>
          <w:color w:val="92D050"/>
        </w:rPr>
        <w:t>:</w:t>
      </w:r>
      <w:r>
        <w:t xml:space="preserve"> o Goodwill inerente à aquisição de um negócio, ou à aquisição de activos e assunção de passivos:</w:t>
      </w:r>
    </w:p>
    <w:p w:rsidR="00573ED0" w:rsidRDefault="00573ED0" w:rsidP="00573ED0">
      <w:pPr>
        <w:pStyle w:val="PargrafodaLista"/>
        <w:numPr>
          <w:ilvl w:val="0"/>
          <w:numId w:val="10"/>
        </w:numPr>
        <w:jc w:val="both"/>
      </w:pPr>
      <w:r>
        <w:t>Não é amortizável</w:t>
      </w:r>
    </w:p>
    <w:p w:rsidR="00573ED0" w:rsidRDefault="00573ED0" w:rsidP="00573ED0">
      <w:pPr>
        <w:pStyle w:val="PargrafodaLista"/>
        <w:numPr>
          <w:ilvl w:val="0"/>
          <w:numId w:val="10"/>
        </w:numPr>
        <w:jc w:val="both"/>
      </w:pPr>
      <w:r>
        <w:t>Está sujeito a imparidade</w:t>
      </w:r>
    </w:p>
    <w:p w:rsidR="00573ED0" w:rsidRDefault="00573ED0" w:rsidP="00573ED0">
      <w:pPr>
        <w:pStyle w:val="PargrafodaLista"/>
        <w:numPr>
          <w:ilvl w:val="0"/>
          <w:numId w:val="10"/>
        </w:numPr>
        <w:jc w:val="both"/>
      </w:pPr>
      <w:r>
        <w:t>A imparidade acumulada não é reversível</w:t>
      </w:r>
    </w:p>
    <w:p w:rsidR="00573ED0" w:rsidRDefault="00573ED0" w:rsidP="00573ED0">
      <w:pPr>
        <w:jc w:val="both"/>
      </w:pPr>
      <w:r>
        <w:t xml:space="preserve">O </w:t>
      </w:r>
      <w:r w:rsidRPr="00573ED0">
        <w:rPr>
          <w:b/>
          <w:noProof/>
          <w:color w:val="99CC00"/>
          <w:lang w:eastAsia="pt-PT"/>
        </w:rPr>
        <w:t>Goodwil gerado internamente</w:t>
      </w:r>
      <w:r>
        <w:t xml:space="preserve"> não deve ser considerado como um activo, porque não é um recurso identificável controlado pela entidade que possa ser medido com fiabilidade.</w:t>
      </w:r>
    </w:p>
    <w:p w:rsidR="00573ED0" w:rsidRPr="00573ED0" w:rsidRDefault="00573ED0" w:rsidP="00573ED0">
      <w:pPr>
        <w:jc w:val="both"/>
        <w:rPr>
          <w:noProof/>
          <w:color w:val="99CC00"/>
          <w:lang w:eastAsia="pt-PT"/>
        </w:rPr>
      </w:pPr>
      <w:r w:rsidRPr="00573ED0">
        <w:rPr>
          <w:b/>
          <w:noProof/>
          <w:color w:val="99CC00"/>
          <w:lang w:eastAsia="pt-PT"/>
        </w:rPr>
        <w:t>Critérios de mensuração dos inventários:</w:t>
      </w:r>
      <w:r>
        <w:rPr>
          <w:b/>
          <w:noProof/>
          <w:color w:val="99CC00"/>
          <w:lang w:eastAsia="pt-PT"/>
        </w:rPr>
        <w:t xml:space="preserve"> </w:t>
      </w:r>
      <w:r w:rsidRPr="00573ED0">
        <w:rPr>
          <w:noProof/>
          <w:lang w:eastAsia="pt-PT"/>
        </w:rPr>
        <w:t>Regra</w:t>
      </w:r>
      <w:r>
        <w:rPr>
          <w:noProof/>
          <w:lang w:eastAsia="pt-PT"/>
        </w:rPr>
        <w:t xml:space="preserve"> geral, os inventários podem ser mensurados pelo custo ou pelo VRL, dos dois o mais baixo.</w:t>
      </w:r>
    </w:p>
    <w:p w:rsidR="00573ED0" w:rsidRDefault="00573ED0" w:rsidP="00573ED0">
      <w:pPr>
        <w:pStyle w:val="PargrafodaLista"/>
        <w:numPr>
          <w:ilvl w:val="0"/>
          <w:numId w:val="11"/>
        </w:numPr>
        <w:jc w:val="both"/>
      </w:pPr>
      <w:r w:rsidRPr="009D4AA1">
        <w:rPr>
          <w:b/>
        </w:rPr>
        <w:t>Custo</w:t>
      </w:r>
      <w:r>
        <w:t xml:space="preserve"> – deve incluir todos os custos de compra, custos de conversão e outros custos incorridos para colocar os inventários no seu local e na sua condição actuais. Dependendo do tipo de inventário, o custo pode ser o custo de aquisição ou o custo de produção.</w:t>
      </w:r>
    </w:p>
    <w:p w:rsidR="00573ED0" w:rsidRPr="00573ED0" w:rsidRDefault="00573ED0" w:rsidP="00573ED0">
      <w:pPr>
        <w:pStyle w:val="PargrafodaLista"/>
        <w:numPr>
          <w:ilvl w:val="0"/>
          <w:numId w:val="11"/>
        </w:numPr>
        <w:jc w:val="both"/>
        <w:rPr>
          <w:noProof/>
          <w:lang w:eastAsia="pt-PT"/>
        </w:rPr>
      </w:pPr>
      <w:r w:rsidRPr="009D4AA1">
        <w:rPr>
          <w:b/>
        </w:rPr>
        <w:t>VRL</w:t>
      </w:r>
      <w:r w:rsidRPr="00573ED0">
        <w:t xml:space="preserve"> – É o preço de venda estimado no decurso ordinário da actividade da empresa menos os custos estimados de acabamento e os custos estimados necessários para </w:t>
      </w:r>
      <w:r w:rsidRPr="00573ED0">
        <w:rPr>
          <w:noProof/>
          <w:lang w:eastAsia="pt-PT"/>
        </w:rPr>
        <w:t>efectuar a venda.</w:t>
      </w:r>
    </w:p>
    <w:p w:rsidR="00573ED0" w:rsidRPr="00573ED0" w:rsidRDefault="00573ED0" w:rsidP="00573ED0">
      <w:pPr>
        <w:jc w:val="both"/>
        <w:rPr>
          <w:b/>
          <w:noProof/>
          <w:color w:val="99CC00"/>
          <w:lang w:eastAsia="pt-PT"/>
        </w:rPr>
      </w:pPr>
      <w:r w:rsidRPr="00573ED0">
        <w:rPr>
          <w:b/>
          <w:noProof/>
          <w:color w:val="99CC00"/>
          <w:lang w:eastAsia="pt-PT"/>
        </w:rPr>
        <w:t>Valor Realizável Líquido VS Justo Valor</w:t>
      </w:r>
    </w:p>
    <w:p w:rsidR="0040027A" w:rsidRDefault="009D4AA1" w:rsidP="000E0193">
      <w:pPr>
        <w:jc w:val="both"/>
      </w:pPr>
      <w:r w:rsidRPr="009D4AA1">
        <w:rPr>
          <w:b/>
        </w:rPr>
        <w:t>VRL</w:t>
      </w:r>
      <w:r>
        <w:t xml:space="preserve"> – quantia líquida que uma entidade espera realizar com a venda de um activo no decurso normal da sua actividade.</w:t>
      </w:r>
    </w:p>
    <w:p w:rsidR="009D4AA1" w:rsidRDefault="009D4AA1" w:rsidP="000E0193">
      <w:pPr>
        <w:jc w:val="both"/>
      </w:pPr>
      <w:r>
        <w:rPr>
          <w:b/>
        </w:rPr>
        <w:t>Justo Valor</w:t>
      </w:r>
      <w:r>
        <w:t xml:space="preserve"> – quantia pela qual o mesmo activo poderia ser trocado entre compradores e vendedores conhecedores e dispostos isso, numa transacção em que não exista relacionamento entre elas.</w:t>
      </w:r>
    </w:p>
    <w:p w:rsidR="009D4AA1" w:rsidRDefault="009D4AA1" w:rsidP="000E0193">
      <w:pPr>
        <w:jc w:val="both"/>
      </w:pPr>
      <w:r>
        <w:t>O VRL é específico de uma entidade, enquanto que o justo valor não o é.</w:t>
      </w:r>
    </w:p>
    <w:p w:rsidR="009D4AA1" w:rsidRDefault="009D4AA1" w:rsidP="000E0193">
      <w:pPr>
        <w:jc w:val="both"/>
      </w:pPr>
      <w:r>
        <w:t>O VRL de um activo pode não ser equivalente ao JV menos os custos de vender esse activo.</w:t>
      </w:r>
    </w:p>
    <w:p w:rsidR="009D4AA1" w:rsidRPr="009D4AA1" w:rsidRDefault="009D4AA1" w:rsidP="000E0193">
      <w:pPr>
        <w:jc w:val="both"/>
        <w:rPr>
          <w:b/>
          <w:noProof/>
          <w:color w:val="99CC00"/>
          <w:lang w:eastAsia="pt-PT"/>
        </w:rPr>
      </w:pPr>
      <w:r w:rsidRPr="009D4AA1">
        <w:rPr>
          <w:b/>
          <w:noProof/>
          <w:color w:val="99CC00"/>
          <w:lang w:eastAsia="pt-PT"/>
        </w:rPr>
        <w:t>Fórmulas de Custeio das saídas</w:t>
      </w:r>
    </w:p>
    <w:p w:rsidR="009D4AA1" w:rsidRDefault="009D4AA1" w:rsidP="009D4AA1">
      <w:pPr>
        <w:pStyle w:val="PargrafodaLista"/>
        <w:numPr>
          <w:ilvl w:val="0"/>
          <w:numId w:val="12"/>
        </w:numPr>
        <w:jc w:val="both"/>
      </w:pPr>
      <w:r>
        <w:t>Custo específico</w:t>
      </w:r>
    </w:p>
    <w:p w:rsidR="009D4AA1" w:rsidRDefault="009D4AA1" w:rsidP="009D4AA1">
      <w:pPr>
        <w:pStyle w:val="PargrafodaLista"/>
        <w:numPr>
          <w:ilvl w:val="0"/>
          <w:numId w:val="12"/>
        </w:numPr>
        <w:jc w:val="both"/>
      </w:pPr>
      <w:r>
        <w:t>FIFO</w:t>
      </w:r>
    </w:p>
    <w:p w:rsidR="009D4AA1" w:rsidRDefault="009D4AA1" w:rsidP="009D4AA1">
      <w:pPr>
        <w:pStyle w:val="PargrafodaLista"/>
        <w:numPr>
          <w:ilvl w:val="0"/>
          <w:numId w:val="12"/>
        </w:numPr>
        <w:jc w:val="both"/>
      </w:pPr>
      <w:r>
        <w:t xml:space="preserve">Custo médio </w:t>
      </w:r>
      <w:proofErr w:type="gramStart"/>
      <w:r>
        <w:t>ponderado(CMP</w:t>
      </w:r>
      <w:proofErr w:type="gramEnd"/>
      <w:r>
        <w:t>)</w:t>
      </w:r>
    </w:p>
    <w:p w:rsidR="009D4AA1" w:rsidRDefault="009D4AA1" w:rsidP="009D4AA1">
      <w:pPr>
        <w:jc w:val="both"/>
        <w:rPr>
          <w:noProof/>
          <w:lang w:eastAsia="pt-PT"/>
        </w:rPr>
      </w:pPr>
      <w:r w:rsidRPr="009D4AA1">
        <w:rPr>
          <w:b/>
          <w:noProof/>
          <w:color w:val="99CC00"/>
          <w:lang w:eastAsia="pt-PT"/>
        </w:rPr>
        <w:lastRenderedPageBreak/>
        <w:t xml:space="preserve">Descontos Comerciais </w:t>
      </w:r>
      <w:r>
        <w:rPr>
          <w:b/>
          <w:noProof/>
          <w:color w:val="99CC00"/>
          <w:lang w:eastAsia="pt-PT"/>
        </w:rPr>
        <w:t>–</w:t>
      </w:r>
      <w:r w:rsidRPr="009D4AA1">
        <w:rPr>
          <w:b/>
          <w:noProof/>
          <w:color w:val="99CC00"/>
          <w:lang w:eastAsia="pt-PT"/>
        </w:rPr>
        <w:t xml:space="preserve"> </w:t>
      </w:r>
      <w:r>
        <w:rPr>
          <w:noProof/>
          <w:lang w:eastAsia="pt-PT"/>
        </w:rPr>
        <w:t>dependem do volume de compras (ou vendas); são descontos de quantidade. Os descontos comerciais afectam directamente o custo dos bens e serviços adquiridos (ou o preço dos bens e serviços vendidos).</w:t>
      </w:r>
    </w:p>
    <w:p w:rsidR="009D4AA1" w:rsidRDefault="009D4AA1" w:rsidP="009D4AA1">
      <w:pPr>
        <w:jc w:val="both"/>
        <w:rPr>
          <w:noProof/>
          <w:lang w:eastAsia="pt-PT"/>
        </w:rPr>
      </w:pPr>
      <w:r w:rsidRPr="009D4AA1">
        <w:rPr>
          <w:b/>
          <w:noProof/>
          <w:color w:val="99CC00"/>
          <w:lang w:eastAsia="pt-PT"/>
        </w:rPr>
        <w:t xml:space="preserve">Descontos financeiros </w:t>
      </w:r>
      <w:r>
        <w:rPr>
          <w:b/>
          <w:noProof/>
          <w:color w:val="99CC00"/>
          <w:lang w:eastAsia="pt-PT"/>
        </w:rPr>
        <w:t>–</w:t>
      </w:r>
      <w:r w:rsidRPr="009D4AA1">
        <w:rPr>
          <w:b/>
          <w:noProof/>
          <w:color w:val="99CC00"/>
          <w:lang w:eastAsia="pt-PT"/>
        </w:rPr>
        <w:t xml:space="preserve"> </w:t>
      </w:r>
      <w:r>
        <w:rPr>
          <w:noProof/>
          <w:lang w:eastAsia="pt-PT"/>
        </w:rPr>
        <w:t>dependem do prazo de pagamento (ou rcebimento); são os designados desconto de pronto pagamento.</w:t>
      </w:r>
    </w:p>
    <w:p w:rsidR="009D4AA1" w:rsidRDefault="009D4AA1" w:rsidP="009D4AA1">
      <w:pPr>
        <w:jc w:val="both"/>
        <w:rPr>
          <w:noProof/>
          <w:lang w:eastAsia="pt-PT"/>
        </w:rPr>
      </w:pPr>
      <w:r w:rsidRPr="009D4AA1">
        <w:rPr>
          <w:b/>
          <w:noProof/>
          <w:color w:val="99CC00"/>
          <w:lang w:eastAsia="pt-PT"/>
        </w:rPr>
        <w:t xml:space="preserve">Descontos inclídos na factura </w:t>
      </w:r>
      <w:r>
        <w:rPr>
          <w:b/>
          <w:noProof/>
          <w:color w:val="99CC00"/>
          <w:lang w:eastAsia="pt-PT"/>
        </w:rPr>
        <w:t>–</w:t>
      </w:r>
      <w:r w:rsidRPr="009D4AA1">
        <w:rPr>
          <w:b/>
          <w:noProof/>
          <w:color w:val="99CC00"/>
          <w:lang w:eastAsia="pt-PT"/>
        </w:rPr>
        <w:t xml:space="preserve"> </w:t>
      </w:r>
      <w:r>
        <w:rPr>
          <w:noProof/>
          <w:lang w:eastAsia="pt-PT"/>
        </w:rPr>
        <w:t>são reflectidos no próprio documento que suporta a transacção comercial.</w:t>
      </w:r>
    </w:p>
    <w:p w:rsidR="009D4AA1" w:rsidRDefault="009D4AA1" w:rsidP="009D4AA1">
      <w:pPr>
        <w:jc w:val="both"/>
        <w:rPr>
          <w:noProof/>
          <w:lang w:eastAsia="pt-PT"/>
        </w:rPr>
      </w:pPr>
      <w:r w:rsidRPr="009D4AA1">
        <w:rPr>
          <w:b/>
          <w:noProof/>
          <w:color w:val="99CC00"/>
          <w:lang w:eastAsia="pt-PT"/>
        </w:rPr>
        <w:t xml:space="preserve">Descontos extra-factura </w:t>
      </w:r>
      <w:r>
        <w:rPr>
          <w:b/>
          <w:noProof/>
          <w:color w:val="99CC00"/>
          <w:lang w:eastAsia="pt-PT"/>
        </w:rPr>
        <w:t>–</w:t>
      </w:r>
      <w:r w:rsidRPr="009D4AA1">
        <w:rPr>
          <w:b/>
          <w:noProof/>
          <w:color w:val="99CC00"/>
          <w:lang w:eastAsia="pt-PT"/>
        </w:rPr>
        <w:t xml:space="preserve"> </w:t>
      </w:r>
      <w:r>
        <w:rPr>
          <w:noProof/>
          <w:lang w:eastAsia="pt-PT"/>
        </w:rPr>
        <w:t>são atribuidos posteriormente à transacção comercial, normalmente mediante emissão de uma nota de crédito.</w:t>
      </w:r>
    </w:p>
    <w:p w:rsidR="00946845" w:rsidRDefault="00946845" w:rsidP="009D4AA1">
      <w:pPr>
        <w:jc w:val="both"/>
        <w:rPr>
          <w:noProof/>
          <w:lang w:eastAsia="pt-PT"/>
        </w:rPr>
      </w:pPr>
      <w:r w:rsidRPr="00946845">
        <w:rPr>
          <w:b/>
          <w:noProof/>
          <w:color w:val="99CC00"/>
          <w:lang w:eastAsia="pt-PT"/>
        </w:rPr>
        <w:t xml:space="preserve">Locação </w:t>
      </w:r>
      <w:r>
        <w:rPr>
          <w:b/>
          <w:noProof/>
          <w:color w:val="99CC00"/>
          <w:lang w:eastAsia="pt-PT"/>
        </w:rPr>
        <w:t>–</w:t>
      </w:r>
      <w:r w:rsidRPr="00946845">
        <w:rPr>
          <w:b/>
          <w:noProof/>
          <w:color w:val="99CC00"/>
          <w:lang w:eastAsia="pt-PT"/>
        </w:rPr>
        <w:t xml:space="preserve"> </w:t>
      </w:r>
      <w:r>
        <w:rPr>
          <w:noProof/>
          <w:lang w:eastAsia="pt-PT"/>
        </w:rPr>
        <w:t>é uma forma de obtenção de financiamento alheio. É um acordo pelo qual o locador transmite ao locatário, em troca de um pagamento ou série de pagamentos, o direito de usar um activo por um período de tempo acordado.</w:t>
      </w:r>
    </w:p>
    <w:p w:rsidR="00946845" w:rsidRDefault="00946845" w:rsidP="009D4AA1">
      <w:pPr>
        <w:jc w:val="both"/>
        <w:rPr>
          <w:b/>
          <w:noProof/>
          <w:color w:val="99CC00"/>
          <w:lang w:eastAsia="pt-PT"/>
        </w:rPr>
      </w:pPr>
      <w:r w:rsidRPr="00946845">
        <w:rPr>
          <w:b/>
          <w:noProof/>
          <w:color w:val="99CC00"/>
          <w:lang w:eastAsia="pt-PT"/>
        </w:rPr>
        <w:t>Locação financeira VS Locação operacional</w:t>
      </w:r>
    </w:p>
    <w:p w:rsidR="00946845" w:rsidRDefault="00946845" w:rsidP="009D4AA1">
      <w:pPr>
        <w:jc w:val="both"/>
        <w:rPr>
          <w:noProof/>
          <w:lang w:eastAsia="pt-PT"/>
        </w:rPr>
      </w:pPr>
      <w:r w:rsidRPr="00946845">
        <w:rPr>
          <w:b/>
          <w:noProof/>
          <w:lang w:eastAsia="pt-PT"/>
        </w:rPr>
        <w:t>Financeira</w:t>
      </w:r>
      <w:r>
        <w:rPr>
          <w:noProof/>
          <w:lang w:eastAsia="pt-PT"/>
        </w:rPr>
        <w:t xml:space="preserve"> – o locatário assume a maioria dos riscos (e vantagens) e, geralmente, ficará com o bem findo o prazo da locação, pelo que se trata, substancialmente, de uma compra através de um financiamento.</w:t>
      </w:r>
    </w:p>
    <w:p w:rsidR="00946845" w:rsidRDefault="00946845" w:rsidP="009D4AA1">
      <w:pPr>
        <w:jc w:val="both"/>
        <w:rPr>
          <w:noProof/>
          <w:lang w:eastAsia="pt-PT"/>
        </w:rPr>
      </w:pPr>
      <w:r w:rsidRPr="00946845">
        <w:rPr>
          <w:b/>
          <w:noProof/>
          <w:lang w:eastAsia="pt-PT"/>
        </w:rPr>
        <w:t>Operacional</w:t>
      </w:r>
      <w:r>
        <w:rPr>
          <w:noProof/>
          <w:lang w:eastAsia="pt-PT"/>
        </w:rPr>
        <w:t xml:space="preserve"> – o bem é devolvido à locadora, pelo que se trata de um aluguer temporário do bem.</w:t>
      </w:r>
    </w:p>
    <w:p w:rsidR="00946845" w:rsidRDefault="00946845" w:rsidP="009D4AA1">
      <w:pPr>
        <w:jc w:val="both"/>
        <w:rPr>
          <w:b/>
          <w:noProof/>
          <w:color w:val="99CC00"/>
          <w:lang w:eastAsia="pt-PT"/>
        </w:rPr>
      </w:pPr>
      <w:r w:rsidRPr="00946845">
        <w:rPr>
          <w:b/>
          <w:noProof/>
          <w:color w:val="99CC00"/>
          <w:lang w:eastAsia="pt-PT"/>
        </w:rPr>
        <w:t>Amortização financeira VS Amortização económica</w:t>
      </w:r>
    </w:p>
    <w:p w:rsidR="00946845" w:rsidRDefault="00946845" w:rsidP="009D4AA1">
      <w:pPr>
        <w:jc w:val="both"/>
        <w:rPr>
          <w:noProof/>
          <w:lang w:eastAsia="pt-PT"/>
        </w:rPr>
      </w:pPr>
      <w:r w:rsidRPr="00CF4A9F">
        <w:rPr>
          <w:b/>
          <w:noProof/>
          <w:lang w:eastAsia="pt-PT"/>
        </w:rPr>
        <w:t>Amor</w:t>
      </w:r>
      <w:r w:rsidR="00CF4A9F" w:rsidRPr="00CF4A9F">
        <w:rPr>
          <w:b/>
          <w:noProof/>
          <w:lang w:eastAsia="pt-PT"/>
        </w:rPr>
        <w:t>t</w:t>
      </w:r>
      <w:r w:rsidRPr="00CF4A9F">
        <w:rPr>
          <w:b/>
          <w:noProof/>
          <w:lang w:eastAsia="pt-PT"/>
        </w:rPr>
        <w:t>ização financeira</w:t>
      </w:r>
      <w:r>
        <w:rPr>
          <w:noProof/>
          <w:lang w:eastAsia="pt-PT"/>
        </w:rPr>
        <w:t xml:space="preserve"> – é o pagamento de uma prestação de um empréstimo</w:t>
      </w:r>
      <w:r w:rsidR="00CF4A9F">
        <w:rPr>
          <w:noProof/>
          <w:lang w:eastAsia="pt-PT"/>
        </w:rPr>
        <w:t xml:space="preserve"> (financiamento), quer seja de um empréstimo bancário ou de um contrato de locação financeira. Corresponde ao reembolso de parte de um financiamento. Também se designa de amortização de capital.</w:t>
      </w:r>
    </w:p>
    <w:p w:rsidR="00CF4A9F" w:rsidRDefault="00CF4A9F" w:rsidP="009D4AA1">
      <w:pPr>
        <w:jc w:val="both"/>
        <w:rPr>
          <w:noProof/>
          <w:lang w:eastAsia="pt-PT"/>
        </w:rPr>
      </w:pPr>
      <w:r w:rsidRPr="00CF4A9F">
        <w:rPr>
          <w:b/>
          <w:noProof/>
          <w:lang w:eastAsia="pt-PT"/>
        </w:rPr>
        <w:t>Amortização</w:t>
      </w:r>
      <w:r>
        <w:rPr>
          <w:noProof/>
          <w:lang w:eastAsia="pt-PT"/>
        </w:rPr>
        <w:t xml:space="preserve"> </w:t>
      </w:r>
      <w:r w:rsidRPr="00CF4A9F">
        <w:rPr>
          <w:b/>
          <w:noProof/>
          <w:lang w:eastAsia="pt-PT"/>
        </w:rPr>
        <w:t>económica</w:t>
      </w:r>
      <w:r>
        <w:rPr>
          <w:noProof/>
          <w:lang w:eastAsia="pt-PT"/>
        </w:rPr>
        <w:t xml:space="preserve"> – é a imputação sistemática (a gastos) da quantia amortizável de um activo intangível durante a sua vida útil. Tem o mesmo significado que o termo depreciação nos activos fixos tangíveis.</w:t>
      </w:r>
    </w:p>
    <w:p w:rsidR="00CF4A9F" w:rsidRDefault="00CF4A9F" w:rsidP="00CF4A9F">
      <w:pPr>
        <w:jc w:val="center"/>
        <w:rPr>
          <w:b/>
          <w:noProof/>
          <w:color w:val="99CC00"/>
          <w:lang w:eastAsia="pt-PT"/>
        </w:rPr>
      </w:pPr>
      <w:r w:rsidRPr="00CF4A9F">
        <w:rPr>
          <w:b/>
          <w:noProof/>
          <w:color w:val="99CC00"/>
          <w:lang w:eastAsia="pt-PT"/>
        </w:rPr>
        <w:t>LETRAS</w:t>
      </w:r>
    </w:p>
    <w:p w:rsidR="00CF4A9F" w:rsidRDefault="00CF4A9F" w:rsidP="00CF4A9F">
      <w:pPr>
        <w:jc w:val="both"/>
        <w:rPr>
          <w:noProof/>
          <w:lang w:eastAsia="pt-PT"/>
        </w:rPr>
      </w:pPr>
      <w:r>
        <w:rPr>
          <w:b/>
          <w:noProof/>
          <w:lang w:eastAsia="pt-PT"/>
        </w:rPr>
        <w:t xml:space="preserve">Saque – </w:t>
      </w:r>
      <w:r>
        <w:rPr>
          <w:noProof/>
          <w:lang w:eastAsia="pt-PT"/>
        </w:rPr>
        <w:t>título a receber; dívida a receber… só que titulada. Também se designa “letra a receber”.</w:t>
      </w:r>
    </w:p>
    <w:p w:rsidR="00CF4A9F" w:rsidRDefault="00CF4A9F" w:rsidP="00CF4A9F">
      <w:pPr>
        <w:jc w:val="both"/>
        <w:rPr>
          <w:noProof/>
          <w:lang w:eastAsia="pt-PT"/>
        </w:rPr>
      </w:pPr>
      <w:r>
        <w:rPr>
          <w:b/>
          <w:noProof/>
          <w:lang w:eastAsia="pt-PT"/>
        </w:rPr>
        <w:t xml:space="preserve">Aceite – </w:t>
      </w:r>
      <w:r>
        <w:rPr>
          <w:noProof/>
          <w:lang w:eastAsia="pt-PT"/>
        </w:rPr>
        <w:t>título a pagar; dívida a pagar...só que titulada. Também se desgina “letra a pagar”.</w:t>
      </w:r>
    </w:p>
    <w:p w:rsidR="00CF4A9F" w:rsidRDefault="00CF4A9F" w:rsidP="00CF4A9F">
      <w:pPr>
        <w:jc w:val="both"/>
        <w:rPr>
          <w:noProof/>
          <w:lang w:eastAsia="pt-PT"/>
        </w:rPr>
      </w:pPr>
      <w:r>
        <w:rPr>
          <w:b/>
          <w:noProof/>
          <w:lang w:eastAsia="pt-PT"/>
        </w:rPr>
        <w:t xml:space="preserve">Desconto de letras a receber – </w:t>
      </w:r>
      <w:r>
        <w:rPr>
          <w:noProof/>
          <w:lang w:eastAsia="pt-PT"/>
        </w:rPr>
        <w:t>é, efectivamente, uma forma de financiamento bancário obtido, de curto prazo, mas sob a forma de “letras descontadas”.</w:t>
      </w:r>
    </w:p>
    <w:p w:rsidR="00CF4A9F" w:rsidRDefault="00CF4A9F" w:rsidP="00CF4A9F">
      <w:pPr>
        <w:jc w:val="both"/>
        <w:rPr>
          <w:noProof/>
          <w:lang w:eastAsia="pt-PT"/>
        </w:rPr>
      </w:pPr>
      <w:r>
        <w:rPr>
          <w:b/>
          <w:noProof/>
          <w:lang w:eastAsia="pt-PT"/>
        </w:rPr>
        <w:t xml:space="preserve">Juros antecipados - </w:t>
      </w:r>
      <w:r>
        <w:rPr>
          <w:noProof/>
          <w:lang w:eastAsia="pt-PT"/>
        </w:rPr>
        <w:t xml:space="preserve"> podem originar um diferimento de</w:t>
      </w:r>
      <w:r w:rsidR="00425004">
        <w:rPr>
          <w:noProof/>
          <w:lang w:eastAsia="pt-PT"/>
        </w:rPr>
        <w:t xml:space="preserve"> gastos/rendimentos, consoante são a pagar ou a receber.</w:t>
      </w:r>
    </w:p>
    <w:p w:rsidR="00425004" w:rsidRDefault="00425004" w:rsidP="00CF4A9F">
      <w:pPr>
        <w:jc w:val="both"/>
        <w:rPr>
          <w:noProof/>
          <w:lang w:eastAsia="pt-PT"/>
        </w:rPr>
      </w:pPr>
      <w:r>
        <w:rPr>
          <w:b/>
          <w:noProof/>
          <w:lang w:eastAsia="pt-PT"/>
        </w:rPr>
        <w:lastRenderedPageBreak/>
        <w:t xml:space="preserve">Juros postecipados – </w:t>
      </w:r>
      <w:r>
        <w:rPr>
          <w:noProof/>
          <w:lang w:eastAsia="pt-PT"/>
        </w:rPr>
        <w:t>podem originar um acréscimo de gastos/rendimentos, consoante são a pagar ou a receber.</w:t>
      </w:r>
    </w:p>
    <w:p w:rsidR="00425004" w:rsidRDefault="00425004" w:rsidP="00CF4A9F">
      <w:pPr>
        <w:jc w:val="both"/>
        <w:rPr>
          <w:b/>
          <w:noProof/>
          <w:color w:val="99CC00"/>
          <w:lang w:eastAsia="pt-PT"/>
        </w:rPr>
      </w:pPr>
      <w:r w:rsidRPr="00425004">
        <w:rPr>
          <w:b/>
          <w:noProof/>
          <w:color w:val="99CC00"/>
          <w:lang w:eastAsia="pt-PT"/>
        </w:rPr>
        <w:t>Classificação dos aumentos de capital quanto à realização</w:t>
      </w:r>
    </w:p>
    <w:p w:rsidR="00425004" w:rsidRDefault="00425004" w:rsidP="00425004">
      <w:pPr>
        <w:pStyle w:val="PargrafodaLista"/>
        <w:numPr>
          <w:ilvl w:val="0"/>
          <w:numId w:val="14"/>
        </w:numPr>
        <w:jc w:val="both"/>
        <w:rPr>
          <w:noProof/>
          <w:lang w:eastAsia="pt-PT"/>
        </w:rPr>
      </w:pPr>
      <w:r>
        <w:rPr>
          <w:noProof/>
          <w:lang w:eastAsia="pt-PT"/>
        </w:rPr>
        <w:t>Por entradas em dinheiro</w:t>
      </w:r>
    </w:p>
    <w:p w:rsidR="00425004" w:rsidRDefault="00425004" w:rsidP="00425004">
      <w:pPr>
        <w:pStyle w:val="PargrafodaLista"/>
        <w:numPr>
          <w:ilvl w:val="0"/>
          <w:numId w:val="14"/>
        </w:numPr>
        <w:jc w:val="both"/>
        <w:rPr>
          <w:noProof/>
          <w:lang w:eastAsia="pt-PT"/>
        </w:rPr>
      </w:pPr>
      <w:r>
        <w:rPr>
          <w:noProof/>
          <w:lang w:eastAsia="pt-PT"/>
        </w:rPr>
        <w:t>Por entradas em espécie</w:t>
      </w:r>
    </w:p>
    <w:p w:rsidR="00425004" w:rsidRDefault="00425004" w:rsidP="00425004">
      <w:pPr>
        <w:pStyle w:val="PargrafodaLista"/>
        <w:numPr>
          <w:ilvl w:val="0"/>
          <w:numId w:val="14"/>
        </w:numPr>
        <w:jc w:val="both"/>
        <w:rPr>
          <w:noProof/>
          <w:lang w:eastAsia="pt-PT"/>
        </w:rPr>
      </w:pPr>
      <w:r>
        <w:rPr>
          <w:noProof/>
          <w:lang w:eastAsia="pt-PT"/>
        </w:rPr>
        <w:t>Por incorporação de reservas</w:t>
      </w:r>
    </w:p>
    <w:p w:rsidR="00425004" w:rsidRDefault="00425004" w:rsidP="00425004">
      <w:pPr>
        <w:pStyle w:val="PargrafodaLista"/>
        <w:numPr>
          <w:ilvl w:val="0"/>
          <w:numId w:val="14"/>
        </w:numPr>
        <w:jc w:val="both"/>
        <w:rPr>
          <w:noProof/>
          <w:lang w:eastAsia="pt-PT"/>
        </w:rPr>
      </w:pPr>
      <w:r>
        <w:rPr>
          <w:noProof/>
          <w:lang w:eastAsia="pt-PT"/>
        </w:rPr>
        <w:t>Por conversão de dívidas em capital</w:t>
      </w:r>
    </w:p>
    <w:p w:rsidR="00425004" w:rsidRDefault="00425004" w:rsidP="00425004">
      <w:pPr>
        <w:jc w:val="both"/>
        <w:rPr>
          <w:b/>
          <w:noProof/>
          <w:color w:val="99CC00"/>
          <w:lang w:eastAsia="pt-PT"/>
        </w:rPr>
      </w:pPr>
      <w:r w:rsidRPr="003C22E7">
        <w:rPr>
          <w:b/>
          <w:noProof/>
          <w:color w:val="99CC00"/>
          <w:lang w:eastAsia="pt-PT"/>
        </w:rPr>
        <w:t>Prestações Suplementares reembolsáveis VS Prestações Acessórias não reembolsáveis</w:t>
      </w:r>
    </w:p>
    <w:p w:rsidR="003C22E7" w:rsidRPr="003C22E7" w:rsidRDefault="003C22E7" w:rsidP="00425004">
      <w:pPr>
        <w:jc w:val="both"/>
        <w:rPr>
          <w:b/>
          <w:noProof/>
          <w:lang w:eastAsia="pt-PT"/>
        </w:rPr>
      </w:pPr>
      <w:r>
        <w:rPr>
          <w:b/>
          <w:noProof/>
          <w:lang w:eastAsia="pt-PT"/>
        </w:rPr>
        <w:t xml:space="preserve">Não reembolsáveis – </w:t>
      </w:r>
      <w:r>
        <w:rPr>
          <w:noProof/>
          <w:lang w:eastAsia="pt-PT"/>
        </w:rPr>
        <w:t>são entradas dos sócios para reforço do capital da empresa, mas que não são capital social. São assim, um instrumento de capital próprio da empresa.</w:t>
      </w:r>
    </w:p>
    <w:p w:rsidR="003C22E7" w:rsidRDefault="003C22E7" w:rsidP="00425004">
      <w:pPr>
        <w:jc w:val="both"/>
        <w:rPr>
          <w:noProof/>
          <w:lang w:eastAsia="pt-PT"/>
        </w:rPr>
      </w:pPr>
      <w:r w:rsidRPr="003C22E7">
        <w:rPr>
          <w:b/>
          <w:noProof/>
          <w:lang w:eastAsia="pt-PT"/>
        </w:rPr>
        <w:t xml:space="preserve">Reembolsáveis </w:t>
      </w:r>
      <w:r>
        <w:rPr>
          <w:b/>
          <w:noProof/>
          <w:lang w:eastAsia="pt-PT"/>
        </w:rPr>
        <w:t>–</w:t>
      </w:r>
      <w:r w:rsidRPr="003C22E7">
        <w:rPr>
          <w:b/>
          <w:noProof/>
          <w:lang w:eastAsia="pt-PT"/>
        </w:rPr>
        <w:t xml:space="preserve"> </w:t>
      </w:r>
      <w:r>
        <w:rPr>
          <w:noProof/>
          <w:lang w:eastAsia="pt-PT"/>
        </w:rPr>
        <w:t>são, em termos contabilísticos, “similares” a empréstimso de sócios à empresa, sendo consideradas em passivo financeiro.</w:t>
      </w:r>
    </w:p>
    <w:p w:rsidR="003C22E7" w:rsidRDefault="003C22E7" w:rsidP="00425004">
      <w:pPr>
        <w:jc w:val="both"/>
        <w:rPr>
          <w:noProof/>
          <w:lang w:eastAsia="pt-PT"/>
        </w:rPr>
      </w:pPr>
      <w:r>
        <w:rPr>
          <w:noProof/>
          <w:lang w:eastAsia="pt-PT"/>
        </w:rPr>
        <w:t>As prestações suplementares têm de ser sempre em dinheiro.</w:t>
      </w:r>
    </w:p>
    <w:p w:rsidR="003C22E7" w:rsidRDefault="003C22E7" w:rsidP="00425004">
      <w:pPr>
        <w:jc w:val="both"/>
        <w:rPr>
          <w:noProof/>
          <w:lang w:eastAsia="pt-PT"/>
        </w:rPr>
      </w:pPr>
      <w:r>
        <w:rPr>
          <w:noProof/>
          <w:lang w:eastAsia="pt-PT"/>
        </w:rPr>
        <w:t>Prestações suplementares – sociedades por quotas</w:t>
      </w:r>
    </w:p>
    <w:p w:rsidR="003C22E7" w:rsidRDefault="003C22E7" w:rsidP="00425004">
      <w:pPr>
        <w:jc w:val="both"/>
        <w:rPr>
          <w:noProof/>
          <w:lang w:eastAsia="pt-PT"/>
        </w:rPr>
      </w:pPr>
      <w:r>
        <w:rPr>
          <w:noProof/>
          <w:lang w:eastAsia="pt-PT"/>
        </w:rPr>
        <w:t>Prestações acessórias – sociedades anónimas</w:t>
      </w:r>
    </w:p>
    <w:p w:rsidR="003C22E7" w:rsidRDefault="003C22E7" w:rsidP="00425004">
      <w:pPr>
        <w:jc w:val="both"/>
        <w:rPr>
          <w:noProof/>
          <w:lang w:eastAsia="pt-PT"/>
        </w:rPr>
      </w:pPr>
    </w:p>
    <w:p w:rsidR="003C22E7" w:rsidRDefault="003C22E7" w:rsidP="00425004">
      <w:pPr>
        <w:jc w:val="both"/>
        <w:rPr>
          <w:noProof/>
          <w:lang w:eastAsia="pt-PT"/>
        </w:rPr>
      </w:pPr>
      <w:r w:rsidRPr="003C22E7">
        <w:rPr>
          <w:b/>
          <w:noProof/>
          <w:lang w:eastAsia="pt-PT"/>
        </w:rPr>
        <w:t>NOTA:</w:t>
      </w:r>
      <w:r>
        <w:rPr>
          <w:noProof/>
          <w:lang w:eastAsia="pt-PT"/>
        </w:rPr>
        <w:t xml:space="preserve"> Só podem ser utilizados para cobertura de prejuízos os </w:t>
      </w:r>
      <w:r w:rsidRPr="003C22E7">
        <w:rPr>
          <w:b/>
          <w:noProof/>
          <w:color w:val="99CC00"/>
          <w:lang w:eastAsia="pt-PT"/>
        </w:rPr>
        <w:t>Excedentes de revalorização realizados</w:t>
      </w:r>
      <w:r>
        <w:rPr>
          <w:noProof/>
          <w:lang w:eastAsia="pt-PT"/>
        </w:rPr>
        <w:t>, mas estes, se existirem, devem estar registados em Resultados transitados.</w:t>
      </w:r>
    </w:p>
    <w:p w:rsidR="003C22E7" w:rsidRDefault="003C22E7" w:rsidP="00425004">
      <w:pPr>
        <w:jc w:val="both"/>
        <w:rPr>
          <w:noProof/>
          <w:lang w:eastAsia="pt-PT"/>
        </w:rPr>
      </w:pPr>
    </w:p>
    <w:p w:rsidR="003C22E7" w:rsidRDefault="003C22E7" w:rsidP="00425004">
      <w:pPr>
        <w:jc w:val="both"/>
        <w:rPr>
          <w:b/>
          <w:noProof/>
          <w:color w:val="99CC00"/>
          <w:lang w:eastAsia="pt-PT"/>
        </w:rPr>
      </w:pPr>
      <w:r w:rsidRPr="003C22E7">
        <w:rPr>
          <w:b/>
          <w:noProof/>
          <w:color w:val="99CC00"/>
          <w:lang w:eastAsia="pt-PT"/>
        </w:rPr>
        <w:t>Métodos de mensuração de investimentos financeiros</w:t>
      </w:r>
    </w:p>
    <w:p w:rsidR="003C22E7" w:rsidRDefault="003C22E7" w:rsidP="003C22E7">
      <w:pPr>
        <w:pStyle w:val="PargrafodaLista"/>
        <w:numPr>
          <w:ilvl w:val="0"/>
          <w:numId w:val="15"/>
        </w:numPr>
        <w:jc w:val="both"/>
        <w:rPr>
          <w:b/>
          <w:noProof/>
          <w:lang w:eastAsia="pt-PT"/>
        </w:rPr>
      </w:pPr>
      <w:r w:rsidRPr="003C22E7">
        <w:rPr>
          <w:b/>
          <w:noProof/>
          <w:lang w:eastAsia="pt-PT"/>
        </w:rPr>
        <w:t>Método do custo</w:t>
      </w:r>
    </w:p>
    <w:p w:rsidR="003C22E7" w:rsidRPr="003C22E7" w:rsidRDefault="003C22E7" w:rsidP="003C22E7">
      <w:pPr>
        <w:pStyle w:val="PargrafodaLista"/>
        <w:numPr>
          <w:ilvl w:val="1"/>
          <w:numId w:val="15"/>
        </w:numPr>
        <w:jc w:val="both"/>
        <w:rPr>
          <w:b/>
          <w:noProof/>
          <w:lang w:eastAsia="pt-PT"/>
        </w:rPr>
      </w:pPr>
      <w:r>
        <w:rPr>
          <w:noProof/>
          <w:lang w:eastAsia="pt-PT"/>
        </w:rPr>
        <w:t>Mensuração inicial: pelo custo de aquisição</w:t>
      </w:r>
    </w:p>
    <w:p w:rsidR="003C22E7" w:rsidRPr="003C22E7" w:rsidRDefault="003C22E7" w:rsidP="003C22E7">
      <w:pPr>
        <w:pStyle w:val="PargrafodaLista"/>
        <w:numPr>
          <w:ilvl w:val="1"/>
          <w:numId w:val="15"/>
        </w:numPr>
        <w:jc w:val="both"/>
        <w:rPr>
          <w:b/>
          <w:noProof/>
          <w:lang w:eastAsia="pt-PT"/>
        </w:rPr>
      </w:pPr>
      <w:r>
        <w:rPr>
          <w:noProof/>
          <w:lang w:eastAsia="pt-PT"/>
        </w:rPr>
        <w:t>Mensuração posterior: pelo seu custo menos as perdas por imparidade</w:t>
      </w:r>
    </w:p>
    <w:p w:rsidR="003C22E7" w:rsidRDefault="003C22E7" w:rsidP="003C22E7">
      <w:pPr>
        <w:pStyle w:val="PargrafodaLista"/>
        <w:numPr>
          <w:ilvl w:val="0"/>
          <w:numId w:val="15"/>
        </w:numPr>
        <w:jc w:val="both"/>
        <w:rPr>
          <w:b/>
          <w:noProof/>
          <w:lang w:eastAsia="pt-PT"/>
        </w:rPr>
      </w:pPr>
      <w:r>
        <w:rPr>
          <w:b/>
          <w:noProof/>
          <w:lang w:eastAsia="pt-PT"/>
        </w:rPr>
        <w:t>Método de equivalência patrimonial (MEP)</w:t>
      </w:r>
    </w:p>
    <w:p w:rsidR="003C22E7" w:rsidRPr="00242459" w:rsidRDefault="00242459" w:rsidP="003C22E7">
      <w:pPr>
        <w:pStyle w:val="PargrafodaLista"/>
        <w:numPr>
          <w:ilvl w:val="1"/>
          <w:numId w:val="15"/>
        </w:numPr>
        <w:jc w:val="both"/>
        <w:rPr>
          <w:b/>
          <w:noProof/>
          <w:lang w:eastAsia="pt-PT"/>
        </w:rPr>
      </w:pPr>
      <w:r>
        <w:rPr>
          <w:noProof/>
          <w:lang w:eastAsia="pt-PT"/>
        </w:rPr>
        <w:t>Consite, basicamente, na substituição do custo histórico da participação pelo valor correspondente à percentagem de participação no Capital próprio da investida/participada.</w:t>
      </w:r>
    </w:p>
    <w:p w:rsidR="00242459" w:rsidRPr="003C22E7" w:rsidRDefault="00242459" w:rsidP="003C22E7">
      <w:pPr>
        <w:pStyle w:val="PargrafodaLista"/>
        <w:numPr>
          <w:ilvl w:val="1"/>
          <w:numId w:val="15"/>
        </w:numPr>
        <w:jc w:val="both"/>
        <w:rPr>
          <w:b/>
          <w:noProof/>
          <w:lang w:eastAsia="pt-PT"/>
        </w:rPr>
      </w:pPr>
      <w:r>
        <w:rPr>
          <w:noProof/>
          <w:lang w:eastAsia="pt-PT"/>
        </w:rPr>
        <w:t>Ou seja, é um método de contabilização pelo qual o investimento é inicialmente reconhecido pelo custo e posteriormente ajustado em função das alterações verificadas, após a aquisição, na quota-parte do investidor nos activos liquidos da investida/participada. Os resultados do investidor incluem a parte que lhe corresponda nos resultados da participada.</w:t>
      </w:r>
    </w:p>
    <w:sectPr w:rsidR="00242459" w:rsidRPr="003C22E7" w:rsidSect="00010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595"/>
    <w:multiLevelType w:val="hybridMultilevel"/>
    <w:tmpl w:val="6D8AAE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6698"/>
    <w:multiLevelType w:val="hybridMultilevel"/>
    <w:tmpl w:val="676E76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B233F"/>
    <w:multiLevelType w:val="hybridMultilevel"/>
    <w:tmpl w:val="4CACD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154D0"/>
    <w:multiLevelType w:val="hybridMultilevel"/>
    <w:tmpl w:val="EF96E86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F34DFF"/>
    <w:multiLevelType w:val="hybridMultilevel"/>
    <w:tmpl w:val="DC1E14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A1989"/>
    <w:multiLevelType w:val="hybridMultilevel"/>
    <w:tmpl w:val="AE4E84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C65C0"/>
    <w:multiLevelType w:val="hybridMultilevel"/>
    <w:tmpl w:val="9C88A1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63F00"/>
    <w:multiLevelType w:val="hybridMultilevel"/>
    <w:tmpl w:val="557499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A192C"/>
    <w:multiLevelType w:val="hybridMultilevel"/>
    <w:tmpl w:val="A21484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678D1"/>
    <w:multiLevelType w:val="hybridMultilevel"/>
    <w:tmpl w:val="5440B1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F4AC3"/>
    <w:multiLevelType w:val="hybridMultilevel"/>
    <w:tmpl w:val="B0C2B7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E661D"/>
    <w:multiLevelType w:val="hybridMultilevel"/>
    <w:tmpl w:val="78943F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A6511"/>
    <w:multiLevelType w:val="hybridMultilevel"/>
    <w:tmpl w:val="16FE61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F7FCC"/>
    <w:multiLevelType w:val="hybridMultilevel"/>
    <w:tmpl w:val="14544B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A7528"/>
    <w:multiLevelType w:val="hybridMultilevel"/>
    <w:tmpl w:val="7F4AD4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F2E"/>
    <w:rsid w:val="00010F7C"/>
    <w:rsid w:val="000E0193"/>
    <w:rsid w:val="001B3F2E"/>
    <w:rsid w:val="001D19C9"/>
    <w:rsid w:val="002370E9"/>
    <w:rsid w:val="00242459"/>
    <w:rsid w:val="00313F3B"/>
    <w:rsid w:val="00394DBB"/>
    <w:rsid w:val="003C22E7"/>
    <w:rsid w:val="0040027A"/>
    <w:rsid w:val="00425004"/>
    <w:rsid w:val="00436950"/>
    <w:rsid w:val="004A1763"/>
    <w:rsid w:val="004A6EC3"/>
    <w:rsid w:val="004D2A76"/>
    <w:rsid w:val="00514FA0"/>
    <w:rsid w:val="0051674D"/>
    <w:rsid w:val="00557377"/>
    <w:rsid w:val="00573ED0"/>
    <w:rsid w:val="00647278"/>
    <w:rsid w:val="00701560"/>
    <w:rsid w:val="0071349C"/>
    <w:rsid w:val="008762DB"/>
    <w:rsid w:val="00946845"/>
    <w:rsid w:val="009D4AA1"/>
    <w:rsid w:val="009F30BD"/>
    <w:rsid w:val="00A708F0"/>
    <w:rsid w:val="00B53D95"/>
    <w:rsid w:val="00B53F20"/>
    <w:rsid w:val="00CF151B"/>
    <w:rsid w:val="00CF4A9F"/>
    <w:rsid w:val="00DB7DB8"/>
    <w:rsid w:val="00E56DCD"/>
    <w:rsid w:val="00EA547C"/>
    <w:rsid w:val="00F107E8"/>
    <w:rsid w:val="00F17C41"/>
    <w:rsid w:val="00F9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1"/>
        <o:r id="V:Rule10" type="connector" idref="#_x0000_s1037"/>
        <o:r id="V:Rule11" type="connector" idref="#_x0000_s1043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7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F2E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B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B3F2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10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Cor3">
    <w:name w:val="Light Shading Accent 3"/>
    <w:basedOn w:val="Tabelanormal"/>
    <w:uiPriority w:val="60"/>
    <w:rsid w:val="00F107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dia2-Cor3">
    <w:name w:val="Medium List 2 Accent 3"/>
    <w:basedOn w:val="Tabelanormal"/>
    <w:uiPriority w:val="66"/>
    <w:rsid w:val="00A708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Cor3">
    <w:name w:val="Light List Accent 3"/>
    <w:basedOn w:val="Tabelanormal"/>
    <w:uiPriority w:val="61"/>
    <w:rsid w:val="00F97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elhaClara-Cor3">
    <w:name w:val="Light Grid Accent 3"/>
    <w:basedOn w:val="Tabelanormal"/>
    <w:uiPriority w:val="62"/>
    <w:rsid w:val="00F97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dio1-Cor3">
    <w:name w:val="Medium Shading 1 Accent 3"/>
    <w:basedOn w:val="Tabelanormal"/>
    <w:uiPriority w:val="63"/>
    <w:rsid w:val="00F97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F97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Cor3">
    <w:name w:val="Medium List 1 Accent 3"/>
    <w:basedOn w:val="Tabelanormal"/>
    <w:uiPriority w:val="65"/>
    <w:rsid w:val="00F9799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1235-0546-4A49-865B-256D56C7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2201</Words>
  <Characters>11887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2010-04-24T14:56:00Z</dcterms:created>
  <dcterms:modified xsi:type="dcterms:W3CDTF">2010-05-30T23:08:00Z</dcterms:modified>
</cp:coreProperties>
</file>