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8A" w:rsidRPr="008B348A" w:rsidRDefault="008B348A" w:rsidP="008B348A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szCs w:val="38"/>
          <w:lang w:eastAsia="pt-PT"/>
        </w:rPr>
      </w:pPr>
      <w:r w:rsidRPr="008B348A"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szCs w:val="38"/>
          <w:lang w:eastAsia="pt-PT"/>
        </w:rPr>
        <w:fldChar w:fldCharType="begin"/>
      </w:r>
      <w:r w:rsidRPr="008B348A"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szCs w:val="38"/>
          <w:lang w:eastAsia="pt-PT"/>
        </w:rPr>
        <w:instrText xml:space="preserve"> HYPERLINK "http://paulocadcam.blogspot.com/2009/07/stc-leis-e-modelos-cientificos-ng7dr4_22.html" </w:instrText>
      </w:r>
      <w:r w:rsidRPr="008B348A"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szCs w:val="38"/>
          <w:lang w:eastAsia="pt-PT"/>
        </w:rPr>
        <w:fldChar w:fldCharType="separate"/>
      </w:r>
      <w:r w:rsidRPr="008B348A"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u w:val="single"/>
          <w:lang w:eastAsia="pt-PT"/>
        </w:rPr>
        <w:t>STC - Leis e Modelos Científicos - NG7/DR4</w:t>
      </w:r>
      <w:r w:rsidRPr="008B348A"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szCs w:val="38"/>
          <w:lang w:eastAsia="pt-PT"/>
        </w:rPr>
        <w:fldChar w:fldCharType="end"/>
      </w:r>
      <w:r w:rsidRPr="008B348A">
        <w:rPr>
          <w:rFonts w:ascii="Verdana" w:eastAsia="Times New Roman" w:hAnsi="Verdana" w:cs="Times New Roman"/>
          <w:b/>
          <w:bCs/>
          <w:color w:val="000000" w:themeColor="text1"/>
          <w:spacing w:val="-15"/>
          <w:sz w:val="38"/>
          <w:szCs w:val="38"/>
          <w:lang w:eastAsia="pt-PT"/>
        </w:rPr>
        <w:t xml:space="preserve"> </w:t>
      </w:r>
    </w:p>
    <w:p w:rsidR="008B348A" w:rsidRPr="008B348A" w:rsidRDefault="008B348A" w:rsidP="008B348A">
      <w:pPr>
        <w:spacing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</w:pP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O ser humano tem vários modos de apreender, organizar e representar a realidade: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Filosofia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Arte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Religião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Ciência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E vários níveis ou graus de conhecimento: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Senso Comum (conhecimento vulgar e pouco rigoroso)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Conhecimento Rigoroso (racionalmente fundamentado)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O que distingue, em primeiro lugar, a ciência do conhecimento vulgar? O Método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Senso Comum: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Construído espontânea e imediatamente.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Fontes: dados sensoriais, transmissão social (experiência colectiva e preconceitos da comunidade), experiência de vida.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Utilidade: pragmático e integrador.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Limites: falta de objectividade (não atinge uma verdadeira explicação do real).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Ciência: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Conhecimento sistemático e metódico. Utiliza raciocínios, provas e demonstrações.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Tem processos metodológicos próprios para explicar os fenómenos naturais ou sociais.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Objectivo: formular leis e teorias explicativas do real.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Permite ao Homem controlar a Natureza e…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Características do Conhecimento Científico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pt-PT"/>
        </w:rPr>
        <w:t>Construção Racional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Parte sempre de uma teoria ou modelo explicativo.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Utiliza uma linguagem inequívoca (ideal linguagem matemática)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Análise metódica e objectiva dos fenómenos (delimitação de um objecto específico de investigação e de um método rigoroso de investigação)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lastRenderedPageBreak/>
        <w:t xml:space="preserve">Explicação operativa – estabelecimento de condições/operações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lógico-matemáticas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e experimentais que permitem um controlo das respostas independente do sujeito que realiza as observações ou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xperimentações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(= criação de um modelo que reproduz a realidade)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Explicação precisa e prática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Aproximação sucessiva à verdade?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O Método Científico: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Eficácia da Investigação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- Credibilidade dos Resultados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- Critério de distinção dos conhecimentos científicos e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não-científicos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A emergência do Método Científico: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Séc.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XVII – ruptura epistemológica que dá origem à ciência moderna (Bacon, Galileu, Descartes, Newton)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A criação da Física Moderna – observação e experimentação +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matematização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(quantificação) do real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O Método Indutivo/Experimental – Fases: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Ponto de partida – observação à formulação de uma hipótese à experimentação (verificação da hipótese) à confirmação da hipótese transformação em LEI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A lei permite a previsão do futuro (raciocínio indutivo é a base da lei)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Mas, será que o ponto de partida da investigação científica é sempre a observação?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Método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Hipotético-Dedutivo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(fases):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Ponto de partida – formulação de um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facto-problema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(a observação é guiada por um problema) à formulação de uma hipótese à inferência das consequências da hipótese à submissão dessas consequências à verificação/experimentação à confirmação das consequências = confirmação da hipótese à Lei (conjunto de leis = teorias)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pt-PT"/>
        </w:rPr>
        <w:t>Conclusão: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- A investigação ou pesquisa científica pressupõe a aliança dos </w:t>
      </w:r>
      <w:proofErr w:type="gram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raciocínios</w:t>
      </w:r>
      <w:proofErr w:type="gram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dedutivo e indutivo. A aliança da teoria e da confirmação pela observação ou experimentação.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- A observação e experimentação supõem a construção de modelos que 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lastRenderedPageBreak/>
        <w:t>reproduzem o real.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Falsificacionismo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(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Karl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Popper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)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pt-PT"/>
        </w:rPr>
        <w:t>O PROBLEMA DA DEMARCAÇÃO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O que distingue as teorias científicas das não científicas é a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falsificabilidade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Contrariamente ao critério tradicional de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veraficabilidade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,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Popper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defende que só é científica uma teoria que possa ser falsificável.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Ex: “O Universo tem uma origem divina” não pode ser falsificável, logo não é uma teoria científica. Já “O calor dilata os corpos” pode ser falsificável, logo é uma teoria científica.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Quanto mais hipóteses houver de falsificar uma teoria, maior é o seu alcance ou conteúdo empírico.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Ex: “Os metais dilatam quando aquecidos” tem maior conteúdo empírico do que “O ferro dilata quando aquecido”.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pt-PT"/>
        </w:rPr>
        <w:t>MODELO DO MÉTODO CIENTÍFICO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Popper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defende um modelo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hipotético-dedutivo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por conjecturas e refutações.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1 – Os problemas são o ponto de partida do método científico.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2 – As teorias são elaboradas através de um processo de criação de conjecturas.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3 – As teorias, depois de elaboradas, devem ser submetidas a um processo que teste a sua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falsificabilidade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 xml:space="preserve"> (ou possível refutação).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4 – Devem ser identificados os novos problemas criados pelas teorias.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 xml:space="preserve">Quando (ou enquanto) não surgem provas contra uma teoria, ou seja, enquanto ela resiste ao teste da </w:t>
      </w:r>
      <w:proofErr w:type="spellStart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falsificabilidade</w:t>
      </w:r>
      <w:proofErr w:type="spellEnd"/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t>, a teoria é corroborada ou tem sucesso.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Não se pode provar a verdade de uma teoria, pode-se corroborar uma teoria.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pt-PT"/>
        </w:rPr>
        <w:t>DESENVOLVIMENTO DA CIÊNCIA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A ciência progride por tentativa e erro, ou seja, por conjecturas e refutações. Logo, a indução não é o fundamental no conhecimento científico.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CONCLUSÃO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Não é por indução que se prova o valor das teorias científicas, mas por tentativas de refutação.</w:t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</w:r>
      <w:r w:rsidRPr="008B348A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pt-PT"/>
        </w:rPr>
        <w:br/>
        <w:t>Nesse processo, a dedução das consequências é fundamental, porque são essas consequências que são confrontadas com a observação.</w:t>
      </w:r>
    </w:p>
    <w:p w:rsidR="0001307E" w:rsidRDefault="0001307E"/>
    <w:sectPr w:rsidR="0001307E" w:rsidSect="00013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48A"/>
    <w:rsid w:val="0001307E"/>
    <w:rsid w:val="008B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8A"/>
  </w:style>
  <w:style w:type="paragraph" w:styleId="Ttulo3">
    <w:name w:val="heading 3"/>
    <w:basedOn w:val="Normal"/>
    <w:link w:val="Ttulo3Carcter"/>
    <w:uiPriority w:val="9"/>
    <w:qFormat/>
    <w:rsid w:val="008B348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8B348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8B348A"/>
    <w:rPr>
      <w:color w:val="3D6DB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5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0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ritabonifacio</dc:creator>
  <cp:lastModifiedBy>ritabonifacio</cp:lastModifiedBy>
  <cp:revision>1</cp:revision>
  <dcterms:created xsi:type="dcterms:W3CDTF">2011-01-19T15:41:00Z</dcterms:created>
  <dcterms:modified xsi:type="dcterms:W3CDTF">2011-01-19T15:42:00Z</dcterms:modified>
</cp:coreProperties>
</file>