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A5" w:rsidRDefault="009A71A5" w:rsidP="009A71A5">
      <w:pPr>
        <w:pStyle w:val="Cabealho2"/>
        <w:rPr>
          <w:rFonts w:eastAsia="Times New Roman"/>
        </w:rPr>
      </w:pPr>
      <w:r>
        <w:rPr>
          <w:rFonts w:eastAsia="Times New Roman"/>
          <w:sz w:val="16"/>
          <w:szCs w:val="16"/>
        </w:rPr>
        <w:t>Séries Cartões</w:t>
      </w:r>
    </w:p>
    <w:p w:rsidR="009A71A5" w:rsidRDefault="009A71A5" w:rsidP="009A71A5">
      <w:pPr>
        <w:pStyle w:val="western"/>
      </w:pPr>
      <w:r>
        <w:rPr>
          <w:sz w:val="16"/>
          <w:szCs w:val="16"/>
        </w:rPr>
        <w:t xml:space="preserve">Para aceder à configuração das Séries de Cartões deve abrir a janela </w:t>
      </w:r>
      <w:r>
        <w:rPr>
          <w:b/>
          <w:bCs/>
          <w:i/>
          <w:iCs/>
          <w:sz w:val="16"/>
          <w:szCs w:val="16"/>
        </w:rPr>
        <w:t>Ficheiros... Séries de Cartões</w:t>
      </w:r>
      <w:r>
        <w:rPr>
          <w:sz w:val="16"/>
          <w:szCs w:val="16"/>
        </w:rPr>
        <w:t xml:space="preserve">. </w:t>
      </w:r>
    </w:p>
    <w:p w:rsidR="009A71A5" w:rsidRDefault="009A71A5" w:rsidP="009A71A5">
      <w:pPr>
        <w:pStyle w:val="western"/>
      </w:pPr>
    </w:p>
    <w:p w:rsidR="009A71A5" w:rsidRDefault="009A71A5" w:rsidP="009A71A5">
      <w:pPr>
        <w:pStyle w:val="western"/>
      </w:pPr>
      <w:r>
        <w:rPr>
          <w:sz w:val="16"/>
          <w:szCs w:val="16"/>
        </w:rPr>
        <w:t>A opção Séries de Cartões</w:t>
      </w:r>
      <w:proofErr w:type="gramStart"/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 xml:space="preserve"> permite configurar os vários tipos de cartões de consumo existentes, por exemplo, nas discotecas (Mulheres, Homens, …).</w:t>
      </w:r>
    </w:p>
    <w:p w:rsidR="009A71A5" w:rsidRDefault="009A71A5" w:rsidP="009A71A5">
      <w:pPr>
        <w:pStyle w:val="western"/>
      </w:pPr>
    </w:p>
    <w:p w:rsidR="009A71A5" w:rsidRDefault="009A71A5" w:rsidP="009A71A5">
      <w:pPr>
        <w:pStyle w:val="western"/>
        <w:numPr>
          <w:ilvl w:val="0"/>
          <w:numId w:val="1"/>
        </w:numPr>
      </w:pPr>
      <w:r>
        <w:rPr>
          <w:sz w:val="16"/>
          <w:szCs w:val="16"/>
        </w:rPr>
        <w:t>Permite indicar por tipo de cartão os números em que começam e terminam, configurar descontos, comissões, consumo mínimo, limite de consumo e observações no pedido / pagamento por série.</w:t>
      </w:r>
    </w:p>
    <w:p w:rsidR="009A71A5" w:rsidRDefault="009A71A5" w:rsidP="009A71A5">
      <w:pPr>
        <w:pStyle w:val="western"/>
        <w:numPr>
          <w:ilvl w:val="0"/>
          <w:numId w:val="1"/>
        </w:numPr>
      </w:pPr>
      <w:r>
        <w:rPr>
          <w:sz w:val="16"/>
          <w:szCs w:val="16"/>
        </w:rPr>
        <w:t>É possível ainda a configuração para “activar” cartões usando um leitor, permitindo apenas consumir em cartões previamente activados.</w:t>
      </w:r>
    </w:p>
    <w:p w:rsidR="009A71A5" w:rsidRDefault="009A71A5" w:rsidP="009A71A5">
      <w:pPr>
        <w:pStyle w:val="NormalWeb"/>
      </w:pPr>
      <w:r>
        <w:br/>
      </w:r>
      <w:r>
        <w:rPr>
          <w:noProof/>
        </w:rPr>
        <w:drawing>
          <wp:inline distT="0" distB="0" distL="0" distR="0">
            <wp:extent cx="5362575" cy="4981575"/>
            <wp:effectExtent l="0" t="0" r="9525" b="9525"/>
            <wp:docPr id="1" name="Imagem 1" descr="cid:part1.07000107.02060305@grupopi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07000107.02060305@grupopie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1A5" w:rsidRDefault="009A71A5" w:rsidP="009A71A5">
      <w:pPr>
        <w:pStyle w:val="western"/>
      </w:pPr>
    </w:p>
    <w:p w:rsidR="009A71A5" w:rsidRDefault="009A71A5" w:rsidP="009A71A5">
      <w:pPr>
        <w:pStyle w:val="western"/>
      </w:pPr>
    </w:p>
    <w:p w:rsidR="009A71A5" w:rsidRDefault="009A71A5" w:rsidP="009A71A5">
      <w:pPr>
        <w:pStyle w:val="western"/>
      </w:pPr>
      <w:r>
        <w:rPr>
          <w:b/>
          <w:bCs/>
          <w:sz w:val="16"/>
          <w:szCs w:val="16"/>
        </w:rPr>
        <w:t>Séries:</w:t>
      </w:r>
      <w:r>
        <w:rPr>
          <w:sz w:val="16"/>
          <w:szCs w:val="16"/>
        </w:rPr>
        <w:t xml:space="preserve"> Lista das séries de cartões.</w:t>
      </w:r>
    </w:p>
    <w:p w:rsidR="009A71A5" w:rsidRDefault="009A71A5" w:rsidP="009A71A5">
      <w:pPr>
        <w:pStyle w:val="western"/>
      </w:pPr>
    </w:p>
    <w:p w:rsidR="009A71A5" w:rsidRDefault="009A71A5" w:rsidP="009A71A5">
      <w:pPr>
        <w:pStyle w:val="western"/>
      </w:pPr>
      <w:r>
        <w:rPr>
          <w:b/>
          <w:bCs/>
          <w:sz w:val="16"/>
          <w:szCs w:val="16"/>
        </w:rPr>
        <w:t xml:space="preserve">Descrição: </w:t>
      </w:r>
      <w:r>
        <w:rPr>
          <w:sz w:val="16"/>
          <w:szCs w:val="16"/>
        </w:rPr>
        <w:t>Designação da série.</w:t>
      </w:r>
    </w:p>
    <w:p w:rsidR="009A71A5" w:rsidRDefault="009A71A5" w:rsidP="009A71A5">
      <w:pPr>
        <w:pStyle w:val="western"/>
      </w:pPr>
    </w:p>
    <w:p w:rsidR="009A71A5" w:rsidRDefault="009A71A5" w:rsidP="009A71A5">
      <w:pPr>
        <w:pStyle w:val="western"/>
        <w:outlineLvl w:val="0"/>
      </w:pPr>
      <w:proofErr w:type="gramStart"/>
      <w:r>
        <w:rPr>
          <w:b/>
          <w:bCs/>
          <w:sz w:val="16"/>
          <w:szCs w:val="16"/>
        </w:rPr>
        <w:t>De</w:t>
      </w:r>
      <w:proofErr w:type="gramEnd"/>
      <w:r>
        <w:rPr>
          <w:b/>
          <w:bCs/>
          <w:sz w:val="16"/>
          <w:szCs w:val="16"/>
        </w:rPr>
        <w:t>:</w:t>
      </w:r>
      <w:r>
        <w:rPr>
          <w:sz w:val="16"/>
          <w:szCs w:val="16"/>
        </w:rPr>
        <w:t xml:space="preserve"> Número onde começa a série.</w:t>
      </w:r>
    </w:p>
    <w:p w:rsidR="009A71A5" w:rsidRDefault="009A71A5" w:rsidP="009A71A5">
      <w:pPr>
        <w:pStyle w:val="western"/>
      </w:pPr>
    </w:p>
    <w:p w:rsidR="009A71A5" w:rsidRDefault="009A71A5" w:rsidP="009A71A5">
      <w:pPr>
        <w:pStyle w:val="western"/>
      </w:pPr>
      <w:proofErr w:type="gramStart"/>
      <w:r>
        <w:rPr>
          <w:b/>
          <w:bCs/>
          <w:sz w:val="16"/>
          <w:szCs w:val="16"/>
        </w:rPr>
        <w:t>Para</w:t>
      </w:r>
      <w:proofErr w:type="gramEnd"/>
      <w:r>
        <w:rPr>
          <w:b/>
          <w:bCs/>
          <w:sz w:val="16"/>
          <w:szCs w:val="16"/>
        </w:rPr>
        <w:t>:</w:t>
      </w:r>
      <w:r>
        <w:rPr>
          <w:sz w:val="16"/>
          <w:szCs w:val="16"/>
        </w:rPr>
        <w:t xml:space="preserve"> Número onde termina a série.</w:t>
      </w:r>
    </w:p>
    <w:p w:rsidR="009A71A5" w:rsidRDefault="009A71A5" w:rsidP="009A71A5">
      <w:pPr>
        <w:pStyle w:val="western"/>
      </w:pPr>
    </w:p>
    <w:p w:rsidR="009A71A5" w:rsidRDefault="009A71A5" w:rsidP="009A71A5">
      <w:pPr>
        <w:pStyle w:val="western"/>
      </w:pPr>
      <w:r>
        <w:rPr>
          <w:b/>
          <w:bCs/>
          <w:sz w:val="16"/>
          <w:szCs w:val="16"/>
        </w:rPr>
        <w:t xml:space="preserve">Requer activação manual: </w:t>
      </w:r>
      <w:r>
        <w:rPr>
          <w:sz w:val="16"/>
          <w:szCs w:val="16"/>
        </w:rPr>
        <w:t>Activar e desactivar o consumo em cartões previamente activados por um leitor.</w:t>
      </w:r>
    </w:p>
    <w:p w:rsidR="009A71A5" w:rsidRDefault="009A71A5" w:rsidP="009A71A5">
      <w:pPr>
        <w:pStyle w:val="western"/>
      </w:pPr>
    </w:p>
    <w:p w:rsidR="009A71A5" w:rsidRDefault="009A71A5" w:rsidP="009A71A5">
      <w:pPr>
        <w:pStyle w:val="western"/>
      </w:pPr>
      <w:r>
        <w:rPr>
          <w:b/>
          <w:bCs/>
          <w:sz w:val="16"/>
          <w:szCs w:val="16"/>
        </w:rPr>
        <w:t xml:space="preserve">Activo: </w:t>
      </w:r>
      <w:r>
        <w:rPr>
          <w:sz w:val="16"/>
          <w:szCs w:val="16"/>
        </w:rPr>
        <w:t>Activar e desactivar a série.</w:t>
      </w:r>
    </w:p>
    <w:p w:rsidR="009A71A5" w:rsidRDefault="009A71A5" w:rsidP="009A71A5">
      <w:pPr>
        <w:pStyle w:val="western"/>
      </w:pPr>
    </w:p>
    <w:p w:rsidR="009A71A5" w:rsidRDefault="009A71A5" w:rsidP="009A71A5">
      <w:pPr>
        <w:pStyle w:val="western"/>
      </w:pPr>
      <w:r>
        <w:rPr>
          <w:b/>
          <w:bCs/>
          <w:sz w:val="16"/>
          <w:szCs w:val="16"/>
        </w:rPr>
        <w:t>Grupo de desconto:</w:t>
      </w:r>
      <w:r>
        <w:rPr>
          <w:sz w:val="16"/>
          <w:szCs w:val="16"/>
        </w:rPr>
        <w:t xml:space="preserve"> Designação do grupo de desconto</w:t>
      </w:r>
      <w:proofErr w:type="gramStart"/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 xml:space="preserve"> identifica o grupo de desconto da série de cartão (Definido na tabela de Grupo de Desconto de Cliente).</w:t>
      </w:r>
    </w:p>
    <w:p w:rsidR="009A71A5" w:rsidRDefault="009A71A5" w:rsidP="009A71A5">
      <w:pPr>
        <w:pStyle w:val="western"/>
      </w:pPr>
    </w:p>
    <w:p w:rsidR="009A71A5" w:rsidRDefault="009A71A5" w:rsidP="009A71A5">
      <w:pPr>
        <w:pStyle w:val="western"/>
      </w:pPr>
      <w:r>
        <w:rPr>
          <w:b/>
          <w:bCs/>
          <w:sz w:val="16"/>
          <w:szCs w:val="16"/>
        </w:rPr>
        <w:t xml:space="preserve">Desconto (%): </w:t>
      </w:r>
      <w:r>
        <w:rPr>
          <w:sz w:val="16"/>
          <w:szCs w:val="16"/>
        </w:rPr>
        <w:t>Define o desconto a atribuir à série.</w:t>
      </w:r>
    </w:p>
    <w:p w:rsidR="009A71A5" w:rsidRDefault="009A71A5" w:rsidP="009A71A5">
      <w:pPr>
        <w:pStyle w:val="western"/>
      </w:pPr>
    </w:p>
    <w:p w:rsidR="009A71A5" w:rsidRDefault="009A71A5" w:rsidP="009A71A5">
      <w:pPr>
        <w:pStyle w:val="western"/>
      </w:pPr>
      <w:r>
        <w:rPr>
          <w:b/>
          <w:bCs/>
          <w:sz w:val="16"/>
          <w:szCs w:val="16"/>
        </w:rPr>
        <w:t xml:space="preserve">Consumo: </w:t>
      </w:r>
      <w:r>
        <w:rPr>
          <w:sz w:val="16"/>
          <w:szCs w:val="16"/>
        </w:rPr>
        <w:t>Define o consumo mínimo da série.</w:t>
      </w:r>
    </w:p>
    <w:p w:rsidR="009A71A5" w:rsidRDefault="009A71A5" w:rsidP="009A71A5">
      <w:pPr>
        <w:pStyle w:val="western"/>
      </w:pPr>
    </w:p>
    <w:p w:rsidR="009A71A5" w:rsidRDefault="009A71A5" w:rsidP="009A71A5">
      <w:pPr>
        <w:pStyle w:val="western"/>
      </w:pPr>
      <w:r>
        <w:rPr>
          <w:b/>
          <w:bCs/>
          <w:sz w:val="16"/>
          <w:szCs w:val="16"/>
        </w:rPr>
        <w:t>Limite:</w:t>
      </w:r>
      <w:r>
        <w:rPr>
          <w:sz w:val="16"/>
          <w:szCs w:val="16"/>
        </w:rPr>
        <w:t xml:space="preserve"> Define o consumo máximo da série.</w:t>
      </w:r>
    </w:p>
    <w:p w:rsidR="009A71A5" w:rsidRDefault="009A71A5" w:rsidP="009A71A5">
      <w:pPr>
        <w:pStyle w:val="western"/>
      </w:pPr>
    </w:p>
    <w:p w:rsidR="009A71A5" w:rsidRDefault="009A71A5" w:rsidP="009A71A5">
      <w:pPr>
        <w:pStyle w:val="western"/>
      </w:pPr>
      <w:r>
        <w:rPr>
          <w:b/>
          <w:bCs/>
          <w:sz w:val="16"/>
          <w:szCs w:val="16"/>
        </w:rPr>
        <w:t>Observações pedido</w:t>
      </w:r>
      <w:r>
        <w:rPr>
          <w:sz w:val="16"/>
          <w:szCs w:val="16"/>
        </w:rPr>
        <w:t xml:space="preserve"> Corresponde à designação do pedido da série.</w:t>
      </w:r>
    </w:p>
    <w:p w:rsidR="009A71A5" w:rsidRDefault="009A71A5" w:rsidP="009A71A5">
      <w:pPr>
        <w:pStyle w:val="western"/>
      </w:pPr>
    </w:p>
    <w:p w:rsidR="009A71A5" w:rsidRDefault="009A71A5" w:rsidP="009A71A5">
      <w:pPr>
        <w:pStyle w:val="western"/>
      </w:pPr>
      <w:proofErr w:type="gramStart"/>
      <w:r>
        <w:rPr>
          <w:b/>
          <w:bCs/>
          <w:sz w:val="16"/>
          <w:szCs w:val="16"/>
        </w:rPr>
        <w:t>Observações fecho</w:t>
      </w:r>
      <w:proofErr w:type="gramEnd"/>
      <w:r>
        <w:rPr>
          <w:b/>
          <w:bCs/>
          <w:sz w:val="16"/>
          <w:szCs w:val="16"/>
        </w:rPr>
        <w:t xml:space="preserve">: </w:t>
      </w:r>
      <w:r>
        <w:rPr>
          <w:sz w:val="16"/>
          <w:szCs w:val="16"/>
        </w:rPr>
        <w:t>Corresponde à designação do pagamento da série.</w:t>
      </w:r>
    </w:p>
    <w:p w:rsidR="009A71A5" w:rsidRDefault="009A71A5" w:rsidP="009A71A5">
      <w:pPr>
        <w:pStyle w:val="western"/>
      </w:pPr>
    </w:p>
    <w:p w:rsidR="009A71A5" w:rsidRDefault="009A71A5" w:rsidP="009A71A5">
      <w:pPr>
        <w:pStyle w:val="western"/>
      </w:pPr>
      <w:r>
        <w:rPr>
          <w:b/>
          <w:bCs/>
          <w:sz w:val="16"/>
          <w:szCs w:val="16"/>
        </w:rPr>
        <w:t xml:space="preserve">Comissão (%): </w:t>
      </w:r>
      <w:r>
        <w:rPr>
          <w:sz w:val="16"/>
          <w:szCs w:val="16"/>
        </w:rPr>
        <w:t xml:space="preserve">Valor a ser usado no </w:t>
      </w:r>
      <w:proofErr w:type="gramStart"/>
      <w:r>
        <w:rPr>
          <w:sz w:val="16"/>
          <w:szCs w:val="16"/>
        </w:rPr>
        <w:t>calculo</w:t>
      </w:r>
      <w:proofErr w:type="gramEnd"/>
      <w:r>
        <w:rPr>
          <w:sz w:val="16"/>
          <w:szCs w:val="16"/>
        </w:rPr>
        <w:t xml:space="preserve"> do relatório de comissões.</w:t>
      </w:r>
    </w:p>
    <w:p w:rsidR="009A71A5" w:rsidRDefault="009A71A5" w:rsidP="009A71A5">
      <w:pPr>
        <w:pStyle w:val="western"/>
      </w:pPr>
    </w:p>
    <w:p w:rsidR="009A71A5" w:rsidRDefault="009A71A5" w:rsidP="009A71A5">
      <w:pPr>
        <w:pStyle w:val="western"/>
      </w:pPr>
      <w:r>
        <w:rPr>
          <w:b/>
          <w:bCs/>
          <w:sz w:val="16"/>
          <w:szCs w:val="16"/>
        </w:rPr>
        <w:t>Tipo:</w:t>
      </w:r>
      <w:r>
        <w:rPr>
          <w:sz w:val="16"/>
          <w:szCs w:val="16"/>
        </w:rPr>
        <w:t xml:space="preserve"> Serve para agrupar os relatórios por tipo de série.</w:t>
      </w:r>
    </w:p>
    <w:p w:rsidR="00893223" w:rsidRDefault="009A71A5">
      <w:bookmarkStart w:id="0" w:name="_GoBack"/>
      <w:bookmarkEnd w:id="0"/>
    </w:p>
    <w:sectPr w:rsidR="00893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5A08"/>
    <w:multiLevelType w:val="multilevel"/>
    <w:tmpl w:val="3722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04"/>
    <w:rsid w:val="00811579"/>
    <w:rsid w:val="009A71A5"/>
    <w:rsid w:val="00B96804"/>
    <w:rsid w:val="00C0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cter"/>
    <w:uiPriority w:val="9"/>
    <w:semiHidden/>
    <w:unhideWhenUsed/>
    <w:qFormat/>
    <w:rsid w:val="009A71A5"/>
    <w:pPr>
      <w:spacing w:before="278" w:after="278" w:line="240" w:lineRule="auto"/>
      <w:outlineLvl w:val="1"/>
    </w:pPr>
    <w:rPr>
      <w:rFonts w:ascii="Times New Roman" w:hAnsi="Times New Roman" w:cs="Times New Roman"/>
      <w:b/>
      <w:bCs/>
      <w:color w:val="000000"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9A71A5"/>
    <w:rPr>
      <w:rFonts w:ascii="Times New Roman" w:hAnsi="Times New Roman" w:cs="Times New Roman"/>
      <w:b/>
      <w:bCs/>
      <w:color w:val="000000"/>
      <w:sz w:val="36"/>
      <w:szCs w:val="3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9A71A5"/>
    <w:pPr>
      <w:spacing w:before="100" w:beforeAutospacing="1"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pt-PT"/>
    </w:rPr>
  </w:style>
  <w:style w:type="paragraph" w:customStyle="1" w:styleId="western">
    <w:name w:val="western"/>
    <w:basedOn w:val="Normal"/>
    <w:uiPriority w:val="99"/>
    <w:semiHidden/>
    <w:rsid w:val="009A71A5"/>
    <w:pPr>
      <w:spacing w:before="100" w:beforeAutospacing="1" w:after="0" w:line="240" w:lineRule="auto"/>
      <w:jc w:val="both"/>
    </w:pPr>
    <w:rPr>
      <w:rFonts w:ascii="Arial" w:hAnsi="Arial" w:cs="Arial"/>
      <w:color w:val="000000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A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7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cter"/>
    <w:uiPriority w:val="9"/>
    <w:semiHidden/>
    <w:unhideWhenUsed/>
    <w:qFormat/>
    <w:rsid w:val="009A71A5"/>
    <w:pPr>
      <w:spacing w:before="278" w:after="278" w:line="240" w:lineRule="auto"/>
      <w:outlineLvl w:val="1"/>
    </w:pPr>
    <w:rPr>
      <w:rFonts w:ascii="Times New Roman" w:hAnsi="Times New Roman" w:cs="Times New Roman"/>
      <w:b/>
      <w:bCs/>
      <w:color w:val="000000"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9A71A5"/>
    <w:rPr>
      <w:rFonts w:ascii="Times New Roman" w:hAnsi="Times New Roman" w:cs="Times New Roman"/>
      <w:b/>
      <w:bCs/>
      <w:color w:val="000000"/>
      <w:sz w:val="36"/>
      <w:szCs w:val="3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9A71A5"/>
    <w:pPr>
      <w:spacing w:before="100" w:beforeAutospacing="1"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pt-PT"/>
    </w:rPr>
  </w:style>
  <w:style w:type="paragraph" w:customStyle="1" w:styleId="western">
    <w:name w:val="western"/>
    <w:basedOn w:val="Normal"/>
    <w:uiPriority w:val="99"/>
    <w:semiHidden/>
    <w:rsid w:val="009A71A5"/>
    <w:pPr>
      <w:spacing w:before="100" w:beforeAutospacing="1" w:after="0" w:line="240" w:lineRule="auto"/>
      <w:jc w:val="both"/>
    </w:pPr>
    <w:rPr>
      <w:rFonts w:ascii="Arial" w:hAnsi="Arial" w:cs="Arial"/>
      <w:color w:val="000000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A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7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part1.07000107.02060305@grupop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</dc:creator>
  <cp:keywords/>
  <dc:description/>
  <cp:lastModifiedBy>Filipe</cp:lastModifiedBy>
  <cp:revision>3</cp:revision>
  <dcterms:created xsi:type="dcterms:W3CDTF">2012-10-31T11:37:00Z</dcterms:created>
  <dcterms:modified xsi:type="dcterms:W3CDTF">2012-10-31T11:37:00Z</dcterms:modified>
</cp:coreProperties>
</file>